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49B6A" w14:textId="65ABA36B" w:rsidR="000A20FF" w:rsidRDefault="007177D8" w:rsidP="552DAF46">
      <w:pPr>
        <w:widowControl w:val="0"/>
        <w:tabs>
          <w:tab w:val="left" w:pos="2520"/>
        </w:tabs>
        <w:spacing w:before="60" w:after="60"/>
        <w:ind w:right="-1"/>
        <w:jc w:val="center"/>
        <w:rPr>
          <w:rFonts w:ascii="Titillium" w:hAnsi="Titillium"/>
          <w:b/>
          <w:bCs/>
          <w:lang w:eastAsia="it-IT"/>
        </w:rPr>
      </w:pPr>
      <w:r>
        <w:rPr>
          <w:noProof/>
        </w:rPr>
        <w:drawing>
          <wp:inline distT="0" distB="0" distL="0" distR="0" wp14:anchorId="65CBD7CC" wp14:editId="61531AE8">
            <wp:extent cx="6120765" cy="1030605"/>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765" cy="1030605"/>
                    </a:xfrm>
                    <a:prstGeom prst="rect">
                      <a:avLst/>
                    </a:prstGeom>
                    <a:noFill/>
                  </pic:spPr>
                </pic:pic>
              </a:graphicData>
            </a:graphic>
          </wp:inline>
        </w:drawing>
      </w:r>
      <w:bookmarkStart w:id="0" w:name="_Toc481159794"/>
      <w:bookmarkStart w:id="1" w:name="_Toc481159737"/>
      <w:bookmarkStart w:id="2" w:name="_Toc481159691"/>
      <w:bookmarkStart w:id="3" w:name="_Toc481159352"/>
      <w:bookmarkStart w:id="4" w:name="_Toc481158956"/>
      <w:bookmarkStart w:id="5" w:name="_Toc481159991"/>
      <w:bookmarkStart w:id="6" w:name="_Toc481159846"/>
      <w:bookmarkStart w:id="7" w:name="_Toc481159801"/>
      <w:bookmarkStart w:id="8" w:name="_Toc481159744"/>
      <w:bookmarkStart w:id="9" w:name="_Toc481159698"/>
      <w:bookmarkStart w:id="10" w:name="_Toc481159359"/>
      <w:bookmarkStart w:id="11" w:name="_Toc481158964"/>
      <w:bookmarkStart w:id="12" w:name="_Toc481159998"/>
      <w:bookmarkStart w:id="13" w:name="_Toc481159853"/>
      <w:bookmarkEnd w:id="0"/>
      <w:bookmarkEnd w:id="1"/>
      <w:bookmarkEnd w:id="2"/>
      <w:bookmarkEnd w:id="3"/>
      <w:bookmarkEnd w:id="4"/>
      <w:bookmarkEnd w:id="5"/>
      <w:bookmarkEnd w:id="6"/>
      <w:bookmarkEnd w:id="7"/>
      <w:bookmarkEnd w:id="8"/>
      <w:bookmarkEnd w:id="9"/>
      <w:bookmarkEnd w:id="10"/>
      <w:bookmarkEnd w:id="11"/>
      <w:bookmarkEnd w:id="12"/>
      <w:bookmarkEnd w:id="13"/>
      <w:r w:rsidR="00DE6365" w:rsidRPr="552DAF46">
        <w:rPr>
          <w:rFonts w:ascii="Titillium" w:hAnsi="Titillium"/>
          <w:b/>
          <w:bCs/>
          <w:lang w:eastAsia="it-IT"/>
        </w:rPr>
        <w:t xml:space="preserve"> </w:t>
      </w:r>
      <w:r w:rsidR="003D1D7B">
        <w:rPr>
          <w:rFonts w:ascii="Titillium" w:hAnsi="Titillium"/>
          <w:b/>
          <w:bCs/>
          <w:lang w:eastAsia="it-IT"/>
        </w:rPr>
        <w:t xml:space="preserve">SCHEMA </w:t>
      </w:r>
      <w:r w:rsidR="26F838B2" w:rsidRPr="552DAF46">
        <w:rPr>
          <w:rFonts w:ascii="Titillium" w:hAnsi="Titillium"/>
          <w:b/>
          <w:bCs/>
          <w:lang w:eastAsia="it-IT"/>
        </w:rPr>
        <w:t>BANDO-</w:t>
      </w:r>
      <w:r w:rsidR="001609A8" w:rsidRPr="552DAF46">
        <w:rPr>
          <w:rFonts w:ascii="Titillium" w:hAnsi="Titillium"/>
          <w:b/>
          <w:bCs/>
          <w:lang w:eastAsia="it-IT"/>
        </w:rPr>
        <w:t xml:space="preserve">DISCIPLINARE DI GARA </w:t>
      </w:r>
    </w:p>
    <w:p w14:paraId="65BD21E7" w14:textId="77777777" w:rsidR="00075960" w:rsidRPr="00075960" w:rsidRDefault="00075960" w:rsidP="00075960">
      <w:pPr>
        <w:widowControl w:val="0"/>
        <w:tabs>
          <w:tab w:val="left" w:pos="2520"/>
        </w:tabs>
        <w:spacing w:before="60" w:after="60"/>
        <w:ind w:right="-1"/>
        <w:jc w:val="center"/>
        <w:rPr>
          <w:rFonts w:ascii="Titillium" w:hAnsi="Titillium"/>
          <w:b/>
          <w:sz w:val="22"/>
          <w:lang w:eastAsia="it-IT"/>
        </w:rPr>
      </w:pPr>
      <w:bookmarkStart w:id="14" w:name="_Toc391036046"/>
      <w:bookmarkStart w:id="15" w:name="_Toc391035973"/>
      <w:bookmarkStart w:id="16" w:name="_Toc380501861"/>
      <w:bookmarkStart w:id="17" w:name="_Toc354038170"/>
    </w:p>
    <w:p w14:paraId="00D90B63" w14:textId="77777777" w:rsidR="00075960" w:rsidRDefault="00075960" w:rsidP="00075960">
      <w:pPr>
        <w:widowControl w:val="0"/>
        <w:tabs>
          <w:tab w:val="left" w:pos="2520"/>
        </w:tabs>
        <w:spacing w:before="60" w:after="60"/>
        <w:ind w:right="-1"/>
        <w:jc w:val="center"/>
        <w:rPr>
          <w:rFonts w:ascii="Titillium" w:hAnsi="Titillium"/>
          <w:b/>
          <w:sz w:val="22"/>
          <w:lang w:eastAsia="it-IT"/>
        </w:rPr>
      </w:pPr>
      <w:r w:rsidRPr="00075960">
        <w:rPr>
          <w:rFonts w:ascii="Titillium" w:hAnsi="Titillium"/>
          <w:b/>
          <w:sz w:val="22"/>
          <w:lang w:eastAsia="it-IT"/>
        </w:rPr>
        <w:t xml:space="preserve">PROCEDURA APERTA PER L’AFFIDAMENTO DEL SERVIZIO DI GESTIONE E MANUTENZIONE DEGLI IMPIANTI SPORTIVI CALCISTICI DI PROPRIETA’ DEL COMUNE DI CASTEL SAN GIOVANNI DENOMINATI “CENTRO SPORTIVO P. SORESSI” E “CAMPO FRAZIONALE DI FONTANA PRADOSA” PER IL PERIODO GENNAIO 2027 – GIUGNO 2030 </w:t>
      </w:r>
    </w:p>
    <w:p w14:paraId="516C1017" w14:textId="170A4A82" w:rsidR="00B0227B" w:rsidRDefault="00075960" w:rsidP="00075960">
      <w:pPr>
        <w:widowControl w:val="0"/>
        <w:tabs>
          <w:tab w:val="left" w:pos="2520"/>
        </w:tabs>
        <w:spacing w:before="60" w:after="60"/>
        <w:ind w:right="-1"/>
        <w:jc w:val="center"/>
        <w:rPr>
          <w:rFonts w:ascii="Titillium" w:hAnsi="Titillium"/>
          <w:b/>
          <w:bCs/>
          <w:sz w:val="22"/>
          <w:lang w:eastAsia="it-IT"/>
        </w:rPr>
      </w:pPr>
      <w:r w:rsidRPr="00075960">
        <w:rPr>
          <w:rFonts w:ascii="Titillium" w:hAnsi="Titillium"/>
          <w:b/>
          <w:sz w:val="22"/>
          <w:lang w:eastAsia="it-IT"/>
        </w:rPr>
        <w:t>CIG ………………...</w:t>
      </w:r>
    </w:p>
    <w:p w14:paraId="5FAC0AD8" w14:textId="77777777" w:rsidR="00B0227B" w:rsidRPr="00D5364E" w:rsidRDefault="00B0227B" w:rsidP="00B0227B">
      <w:pPr>
        <w:widowControl w:val="0"/>
        <w:tabs>
          <w:tab w:val="left" w:pos="2520"/>
        </w:tabs>
        <w:spacing w:before="60" w:after="60"/>
        <w:ind w:right="-1"/>
        <w:jc w:val="center"/>
        <w:rPr>
          <w:rFonts w:ascii="Titillium" w:hAnsi="Titillium"/>
          <w:b/>
          <w:bCs/>
          <w:sz w:val="22"/>
          <w:lang w:eastAsia="it-IT"/>
        </w:rPr>
      </w:pPr>
    </w:p>
    <w:p w14:paraId="5537BC66" w14:textId="66DE5F6D" w:rsidR="004A0365" w:rsidRDefault="004A0365" w:rsidP="00077C38">
      <w:pPr>
        <w:widowControl w:val="0"/>
        <w:spacing w:before="60" w:after="60"/>
        <w:rPr>
          <w:rFonts w:ascii="Titillium" w:hAnsi="Titillium" w:cs="Calibri"/>
          <w:bCs/>
          <w:iCs/>
          <w:sz w:val="18"/>
          <w:szCs w:val="18"/>
        </w:rPr>
      </w:pPr>
      <w:r w:rsidRPr="004A0365">
        <w:rPr>
          <w:rFonts w:ascii="Titillium" w:hAnsi="Titillium" w:cs="Calibri"/>
          <w:bCs/>
          <w:iCs/>
          <w:sz w:val="18"/>
          <w:szCs w:val="18"/>
        </w:rPr>
        <w:t>PREMESSE</w:t>
      </w:r>
    </w:p>
    <w:p w14:paraId="755434BC" w14:textId="1C391718" w:rsidR="00077C38" w:rsidRPr="00AF6D20" w:rsidRDefault="00A87713" w:rsidP="00077C38">
      <w:pPr>
        <w:widowControl w:val="0"/>
        <w:spacing w:before="60" w:after="60"/>
        <w:rPr>
          <w:rFonts w:ascii="Titillium" w:hAnsi="Titillium"/>
          <w:bCs/>
          <w:sz w:val="18"/>
          <w:szCs w:val="18"/>
          <w:lang w:eastAsia="it-IT"/>
        </w:rPr>
      </w:pPr>
      <w:r w:rsidRPr="00A87713">
        <w:rPr>
          <w:rFonts w:ascii="Titillium" w:hAnsi="Titillium" w:cs="Calibri"/>
          <w:bCs/>
          <w:iCs/>
          <w:sz w:val="18"/>
          <w:szCs w:val="18"/>
        </w:rPr>
        <w:t>La presente procedura di gara v</w:t>
      </w:r>
      <w:r w:rsidR="00FE3683">
        <w:rPr>
          <w:rFonts w:ascii="Titillium" w:hAnsi="Titillium" w:cs="Calibri"/>
          <w:bCs/>
          <w:iCs/>
          <w:sz w:val="18"/>
          <w:szCs w:val="18"/>
        </w:rPr>
        <w:t>iene</w:t>
      </w:r>
      <w:r w:rsidRPr="00A87713">
        <w:rPr>
          <w:rFonts w:ascii="Titillium" w:hAnsi="Titillium" w:cs="Calibri"/>
          <w:bCs/>
          <w:iCs/>
          <w:sz w:val="18"/>
          <w:szCs w:val="18"/>
        </w:rPr>
        <w:t xml:space="preserve"> espletata dalla Stazione Unica Appaltante (S</w:t>
      </w:r>
      <w:r w:rsidR="000271A3">
        <w:rPr>
          <w:rFonts w:ascii="Titillium" w:hAnsi="Titillium" w:cs="Calibri"/>
          <w:bCs/>
          <w:iCs/>
          <w:sz w:val="18"/>
          <w:szCs w:val="18"/>
        </w:rPr>
        <w:t>.</w:t>
      </w:r>
      <w:r w:rsidRPr="00A87713">
        <w:rPr>
          <w:rFonts w:ascii="Titillium" w:hAnsi="Titillium" w:cs="Calibri"/>
          <w:bCs/>
          <w:iCs/>
          <w:sz w:val="18"/>
          <w:szCs w:val="18"/>
        </w:rPr>
        <w:t>U</w:t>
      </w:r>
      <w:r w:rsidR="000271A3">
        <w:rPr>
          <w:rFonts w:ascii="Titillium" w:hAnsi="Titillium" w:cs="Calibri"/>
          <w:bCs/>
          <w:iCs/>
          <w:sz w:val="18"/>
          <w:szCs w:val="18"/>
        </w:rPr>
        <w:t>.</w:t>
      </w:r>
      <w:r w:rsidRPr="00A87713">
        <w:rPr>
          <w:rFonts w:ascii="Titillium" w:hAnsi="Titillium" w:cs="Calibri"/>
          <w:bCs/>
          <w:iCs/>
          <w:sz w:val="18"/>
          <w:szCs w:val="18"/>
        </w:rPr>
        <w:t>A</w:t>
      </w:r>
      <w:r w:rsidR="000271A3">
        <w:rPr>
          <w:rFonts w:ascii="Titillium" w:hAnsi="Titillium" w:cs="Calibri"/>
          <w:bCs/>
          <w:iCs/>
          <w:sz w:val="18"/>
          <w:szCs w:val="18"/>
        </w:rPr>
        <w:t>.</w:t>
      </w:r>
      <w:r w:rsidRPr="00A87713">
        <w:rPr>
          <w:rFonts w:ascii="Titillium" w:hAnsi="Titillium" w:cs="Calibri"/>
          <w:bCs/>
          <w:iCs/>
          <w:sz w:val="18"/>
          <w:szCs w:val="18"/>
        </w:rPr>
        <w:t>) della Provincia di Piacenz</w:t>
      </w:r>
      <w:r w:rsidR="009114C3">
        <w:rPr>
          <w:rFonts w:ascii="Titillium" w:hAnsi="Titillium" w:cs="Calibri"/>
          <w:bCs/>
          <w:iCs/>
          <w:sz w:val="18"/>
          <w:szCs w:val="18"/>
        </w:rPr>
        <w:t>a</w:t>
      </w:r>
      <w:r w:rsidR="00471DB3">
        <w:rPr>
          <w:rFonts w:ascii="Titillium" w:hAnsi="Titillium" w:cs="Calibri"/>
          <w:bCs/>
          <w:iCs/>
          <w:sz w:val="18"/>
          <w:szCs w:val="18"/>
        </w:rPr>
        <w:t xml:space="preserve"> per conto de</w:t>
      </w:r>
      <w:r w:rsidR="00712DFF">
        <w:rPr>
          <w:rFonts w:ascii="Titillium" w:hAnsi="Titillium" w:cs="Calibri"/>
          <w:bCs/>
          <w:iCs/>
          <w:sz w:val="18"/>
          <w:szCs w:val="18"/>
        </w:rPr>
        <w:t>l</w:t>
      </w:r>
      <w:r w:rsidR="00DE6365">
        <w:rPr>
          <w:rFonts w:ascii="Titillium" w:hAnsi="Titillium" w:cs="Calibri"/>
          <w:bCs/>
          <w:iCs/>
          <w:sz w:val="18"/>
          <w:szCs w:val="18"/>
        </w:rPr>
        <w:t xml:space="preserve"> </w:t>
      </w:r>
      <w:bookmarkStart w:id="18" w:name="_Hlk150716922"/>
      <w:r w:rsidR="00712DFF">
        <w:rPr>
          <w:rFonts w:ascii="Titillium" w:hAnsi="Titillium" w:cs="Calibri"/>
          <w:bCs/>
          <w:iCs/>
          <w:sz w:val="18"/>
          <w:szCs w:val="18"/>
        </w:rPr>
        <w:t xml:space="preserve">Comune di </w:t>
      </w:r>
      <w:r w:rsidR="00000A53">
        <w:rPr>
          <w:rFonts w:ascii="Titillium" w:hAnsi="Titillium" w:cs="Calibri"/>
          <w:bCs/>
          <w:iCs/>
          <w:sz w:val="18"/>
          <w:szCs w:val="18"/>
        </w:rPr>
        <w:t>Castel San Giovanni</w:t>
      </w:r>
      <w:r w:rsidR="00712DFF">
        <w:rPr>
          <w:rFonts w:ascii="Titillium" w:hAnsi="Titillium" w:cs="Calibri"/>
          <w:bCs/>
          <w:iCs/>
          <w:sz w:val="18"/>
          <w:szCs w:val="18"/>
        </w:rPr>
        <w:t xml:space="preserve"> (PC</w:t>
      </w:r>
      <w:r w:rsidR="00712DFF" w:rsidRPr="00AF6D20">
        <w:rPr>
          <w:rFonts w:ascii="Titillium" w:hAnsi="Titillium" w:cs="Calibri"/>
          <w:bCs/>
          <w:iCs/>
          <w:sz w:val="18"/>
          <w:szCs w:val="18"/>
        </w:rPr>
        <w:t>)</w:t>
      </w:r>
      <w:r w:rsidR="00471DB3" w:rsidRPr="00AF6D20">
        <w:rPr>
          <w:rFonts w:ascii="Titillium" w:hAnsi="Titillium" w:cs="Calibri"/>
          <w:bCs/>
          <w:iCs/>
          <w:sz w:val="18"/>
          <w:szCs w:val="18"/>
        </w:rPr>
        <w:t>,</w:t>
      </w:r>
      <w:r w:rsidR="00454251" w:rsidRPr="00AF6D20">
        <w:rPr>
          <w:rFonts w:ascii="Titillium" w:hAnsi="Titillium" w:cs="Calibri"/>
          <w:bCs/>
          <w:iCs/>
          <w:sz w:val="18"/>
          <w:szCs w:val="18"/>
        </w:rPr>
        <w:t xml:space="preserve"> </w:t>
      </w:r>
      <w:r w:rsidR="009114C3" w:rsidRPr="00AF6D20">
        <w:rPr>
          <w:rFonts w:ascii="Titillium" w:hAnsi="Titillium" w:cs="Calibri"/>
          <w:bCs/>
          <w:iCs/>
          <w:sz w:val="18"/>
          <w:szCs w:val="18"/>
        </w:rPr>
        <w:t>ai sensi dell</w:t>
      </w:r>
      <w:r w:rsidR="00712DFF" w:rsidRPr="00AF6D20">
        <w:rPr>
          <w:rFonts w:ascii="Titillium" w:hAnsi="Titillium" w:cs="Calibri"/>
          <w:bCs/>
          <w:iCs/>
          <w:sz w:val="18"/>
          <w:szCs w:val="18"/>
        </w:rPr>
        <w:t>a</w:t>
      </w:r>
      <w:r w:rsidR="00DE6365" w:rsidRPr="00AF6D20">
        <w:rPr>
          <w:rFonts w:ascii="Titillium" w:hAnsi="Titillium" w:cs="Calibri"/>
          <w:bCs/>
          <w:iCs/>
          <w:sz w:val="18"/>
          <w:szCs w:val="18"/>
        </w:rPr>
        <w:t xml:space="preserve"> </w:t>
      </w:r>
      <w:r w:rsidR="009114C3" w:rsidRPr="00AF6D20">
        <w:rPr>
          <w:rFonts w:ascii="Titillium" w:hAnsi="Titillium" w:cs="Calibri"/>
          <w:bCs/>
          <w:iCs/>
          <w:sz w:val="18"/>
          <w:szCs w:val="18"/>
        </w:rPr>
        <w:t>convenzion</w:t>
      </w:r>
      <w:r w:rsidR="00712DFF" w:rsidRPr="00AF6D20">
        <w:rPr>
          <w:rFonts w:ascii="Titillium" w:hAnsi="Titillium" w:cs="Calibri"/>
          <w:bCs/>
          <w:iCs/>
          <w:sz w:val="18"/>
          <w:szCs w:val="18"/>
        </w:rPr>
        <w:t>e</w:t>
      </w:r>
      <w:r w:rsidR="00471DB3" w:rsidRPr="00AF6D20">
        <w:rPr>
          <w:rFonts w:ascii="Titillium" w:hAnsi="Titillium" w:cs="Calibri"/>
          <w:bCs/>
          <w:iCs/>
          <w:sz w:val="18"/>
          <w:szCs w:val="18"/>
        </w:rPr>
        <w:t xml:space="preserve"> registrat</w:t>
      </w:r>
      <w:r w:rsidR="00712DFF" w:rsidRPr="00AF6D20">
        <w:rPr>
          <w:rFonts w:ascii="Titillium" w:hAnsi="Titillium" w:cs="Calibri"/>
          <w:bCs/>
          <w:iCs/>
          <w:sz w:val="18"/>
          <w:szCs w:val="18"/>
        </w:rPr>
        <w:t>a</w:t>
      </w:r>
      <w:r w:rsidR="00DE6365" w:rsidRPr="00AF6D20">
        <w:rPr>
          <w:rFonts w:ascii="Titillium" w:hAnsi="Titillium" w:cs="Calibri"/>
          <w:bCs/>
          <w:iCs/>
          <w:sz w:val="18"/>
          <w:szCs w:val="18"/>
        </w:rPr>
        <w:t xml:space="preserve"> </w:t>
      </w:r>
      <w:r w:rsidR="00086E8B" w:rsidRPr="00AF6D20">
        <w:rPr>
          <w:rFonts w:ascii="Titillium" w:hAnsi="Titillium"/>
          <w:bCs/>
          <w:sz w:val="18"/>
          <w:szCs w:val="18"/>
          <w:lang w:eastAsia="it-IT"/>
        </w:rPr>
        <w:t xml:space="preserve">in data </w:t>
      </w:r>
      <w:bookmarkStart w:id="19" w:name="_Hlk150714361"/>
      <w:bookmarkEnd w:id="18"/>
      <w:r w:rsidR="0091742E" w:rsidRPr="00AF6D20">
        <w:rPr>
          <w:rFonts w:ascii="Titillium" w:hAnsi="Titillium"/>
          <w:bCs/>
          <w:sz w:val="18"/>
          <w:szCs w:val="18"/>
          <w:lang w:eastAsia="it-IT"/>
        </w:rPr>
        <w:t>15</w:t>
      </w:r>
      <w:r w:rsidR="00712DFF" w:rsidRPr="00AF6D20">
        <w:rPr>
          <w:rFonts w:ascii="Titillium" w:hAnsi="Titillium"/>
          <w:bCs/>
          <w:sz w:val="18"/>
          <w:szCs w:val="18"/>
          <w:lang w:eastAsia="it-IT"/>
        </w:rPr>
        <w:t>/01</w:t>
      </w:r>
      <w:r w:rsidR="00077C38" w:rsidRPr="00AF6D20">
        <w:rPr>
          <w:rFonts w:ascii="Titillium" w:hAnsi="Titillium"/>
          <w:bCs/>
          <w:sz w:val="18"/>
          <w:szCs w:val="18"/>
          <w:lang w:eastAsia="it-IT"/>
        </w:rPr>
        <w:t xml:space="preserve">/2025 al n. </w:t>
      </w:r>
      <w:r w:rsidR="0091742E" w:rsidRPr="00AF6D20">
        <w:rPr>
          <w:rFonts w:ascii="Titillium" w:hAnsi="Titillium"/>
          <w:bCs/>
          <w:sz w:val="18"/>
          <w:szCs w:val="18"/>
          <w:lang w:eastAsia="it-IT"/>
        </w:rPr>
        <w:t>14</w:t>
      </w:r>
      <w:r w:rsidR="00077C38" w:rsidRPr="00AF6D20">
        <w:rPr>
          <w:rFonts w:ascii="Titillium" w:hAnsi="Titillium"/>
          <w:bCs/>
          <w:sz w:val="18"/>
          <w:szCs w:val="18"/>
          <w:lang w:eastAsia="it-IT"/>
        </w:rPr>
        <w:t xml:space="preserve"> del Registro </w:t>
      </w:r>
      <w:r w:rsidR="00712DFF" w:rsidRPr="00AF6D20">
        <w:rPr>
          <w:rFonts w:ascii="Titillium" w:hAnsi="Titillium"/>
          <w:bCs/>
          <w:sz w:val="18"/>
          <w:szCs w:val="18"/>
          <w:lang w:eastAsia="it-IT"/>
        </w:rPr>
        <w:t>S</w:t>
      </w:r>
      <w:r w:rsidR="00077C38" w:rsidRPr="00AF6D20">
        <w:rPr>
          <w:rFonts w:ascii="Titillium" w:hAnsi="Titillium"/>
          <w:bCs/>
          <w:sz w:val="18"/>
          <w:szCs w:val="18"/>
          <w:lang w:eastAsia="it-IT"/>
        </w:rPr>
        <w:t xml:space="preserve">critture </w:t>
      </w:r>
      <w:r w:rsidR="00712DFF" w:rsidRPr="00AF6D20">
        <w:rPr>
          <w:rFonts w:ascii="Titillium" w:hAnsi="Titillium"/>
          <w:bCs/>
          <w:sz w:val="18"/>
          <w:szCs w:val="18"/>
          <w:lang w:eastAsia="it-IT"/>
        </w:rPr>
        <w:t>P</w:t>
      </w:r>
      <w:r w:rsidR="00077C38" w:rsidRPr="00AF6D20">
        <w:rPr>
          <w:rFonts w:ascii="Titillium" w:hAnsi="Titillium"/>
          <w:bCs/>
          <w:sz w:val="18"/>
          <w:szCs w:val="18"/>
          <w:lang w:eastAsia="it-IT"/>
        </w:rPr>
        <w:t>rivate della Provincia.</w:t>
      </w:r>
    </w:p>
    <w:bookmarkEnd w:id="19"/>
    <w:p w14:paraId="4C56AA33" w14:textId="0E5660F9" w:rsidR="004C53A8" w:rsidRPr="004613F4" w:rsidRDefault="00870286" w:rsidP="00CC0F90">
      <w:pPr>
        <w:spacing w:before="60" w:after="60"/>
      </w:pPr>
      <w:r w:rsidRPr="00AF6D20">
        <w:rPr>
          <w:rFonts w:ascii="Titillium" w:hAnsi="Titillium" w:cs="Calibri"/>
          <w:bCs/>
          <w:iCs/>
          <w:sz w:val="18"/>
          <w:szCs w:val="18"/>
        </w:rPr>
        <w:t>Con de</w:t>
      </w:r>
      <w:r w:rsidR="00022BCC" w:rsidRPr="00AF6D20">
        <w:rPr>
          <w:rFonts w:ascii="Titillium" w:hAnsi="Titillium" w:cs="Calibri"/>
          <w:bCs/>
          <w:iCs/>
          <w:sz w:val="18"/>
          <w:szCs w:val="18"/>
        </w:rPr>
        <w:t>cisione</w:t>
      </w:r>
      <w:r w:rsidRPr="00AF6D20">
        <w:rPr>
          <w:rFonts w:ascii="Titillium" w:hAnsi="Titillium" w:cs="Calibri"/>
          <w:bCs/>
          <w:iCs/>
          <w:sz w:val="18"/>
          <w:szCs w:val="18"/>
        </w:rPr>
        <w:t xml:space="preserve"> a contrarre</w:t>
      </w:r>
      <w:r w:rsidR="00454251" w:rsidRPr="00AF6D20">
        <w:rPr>
          <w:rFonts w:ascii="Titillium" w:hAnsi="Titillium" w:cs="Calibri"/>
          <w:bCs/>
          <w:iCs/>
          <w:sz w:val="18"/>
          <w:szCs w:val="18"/>
        </w:rPr>
        <w:t xml:space="preserve"> </w:t>
      </w:r>
      <w:r w:rsidR="005922D6" w:rsidRPr="00AF6D20">
        <w:rPr>
          <w:rFonts w:ascii="Titillium" w:hAnsi="Titillium" w:cs="Calibri"/>
          <w:bCs/>
          <w:iCs/>
          <w:sz w:val="18"/>
          <w:szCs w:val="18"/>
        </w:rPr>
        <w:t>n</w:t>
      </w:r>
      <w:r w:rsidR="00D30B27" w:rsidRPr="00AF6D20">
        <w:rPr>
          <w:rFonts w:ascii="Titillium" w:hAnsi="Titillium" w:cs="Calibri"/>
          <w:bCs/>
          <w:iCs/>
          <w:sz w:val="18"/>
          <w:szCs w:val="18"/>
        </w:rPr>
        <w:t>.</w:t>
      </w:r>
      <w:r w:rsidR="00077C38" w:rsidRPr="00AF6D20">
        <w:rPr>
          <w:rFonts w:ascii="Titillium" w:hAnsi="Titillium" w:cs="Calibri"/>
          <w:bCs/>
          <w:iCs/>
          <w:sz w:val="18"/>
          <w:szCs w:val="18"/>
        </w:rPr>
        <w:t xml:space="preserve"> </w:t>
      </w:r>
      <w:r w:rsidR="009709D9">
        <w:rPr>
          <w:rFonts w:ascii="Titillium" w:hAnsi="Titillium" w:cs="Calibri"/>
          <w:bCs/>
          <w:iCs/>
          <w:sz w:val="18"/>
          <w:szCs w:val="18"/>
        </w:rPr>
        <w:t>836</w:t>
      </w:r>
      <w:r w:rsidR="006A0FFD" w:rsidRPr="00AF6D20">
        <w:rPr>
          <w:rFonts w:ascii="Titillium" w:hAnsi="Titillium" w:cs="Calibri"/>
          <w:bCs/>
          <w:iCs/>
          <w:sz w:val="18"/>
          <w:szCs w:val="18"/>
        </w:rPr>
        <w:t xml:space="preserve"> del</w:t>
      </w:r>
      <w:r w:rsidR="009709D9">
        <w:rPr>
          <w:rFonts w:ascii="Titillium" w:hAnsi="Titillium" w:cs="Calibri"/>
          <w:bCs/>
          <w:iCs/>
          <w:sz w:val="18"/>
          <w:szCs w:val="18"/>
        </w:rPr>
        <w:t>l’01</w:t>
      </w:r>
      <w:r w:rsidR="006A0FFD" w:rsidRPr="00AF6D20">
        <w:rPr>
          <w:rFonts w:ascii="Titillium" w:hAnsi="Titillium" w:cs="Calibri"/>
          <w:bCs/>
          <w:iCs/>
          <w:sz w:val="18"/>
          <w:szCs w:val="18"/>
        </w:rPr>
        <w:t>/</w:t>
      </w:r>
      <w:r w:rsidR="009709D9">
        <w:rPr>
          <w:rFonts w:ascii="Titillium" w:hAnsi="Titillium" w:cs="Calibri"/>
          <w:bCs/>
          <w:iCs/>
          <w:sz w:val="18"/>
          <w:szCs w:val="18"/>
        </w:rPr>
        <w:t>10</w:t>
      </w:r>
      <w:r w:rsidR="006A0FFD" w:rsidRPr="00AF6D20">
        <w:rPr>
          <w:rFonts w:ascii="Titillium" w:hAnsi="Titillium" w:cs="Calibri"/>
          <w:bCs/>
          <w:iCs/>
          <w:sz w:val="18"/>
          <w:szCs w:val="18"/>
        </w:rPr>
        <w:t xml:space="preserve">/2026 </w:t>
      </w:r>
      <w:r w:rsidR="005922D6" w:rsidRPr="00AF6D20">
        <w:rPr>
          <w:rFonts w:ascii="Titillium" w:hAnsi="Titillium" w:cs="Calibri"/>
          <w:bCs/>
          <w:iCs/>
          <w:sz w:val="18"/>
          <w:szCs w:val="18"/>
        </w:rPr>
        <w:t xml:space="preserve">del Comune di </w:t>
      </w:r>
      <w:r w:rsidR="004E3FFC" w:rsidRPr="00AF6D20">
        <w:rPr>
          <w:rFonts w:ascii="Titillium" w:hAnsi="Titillium" w:cs="Calibri"/>
          <w:bCs/>
          <w:iCs/>
          <w:sz w:val="18"/>
          <w:szCs w:val="18"/>
        </w:rPr>
        <w:t>Castel San Giovanni</w:t>
      </w:r>
      <w:r w:rsidR="005922D6" w:rsidRPr="00AF6D20">
        <w:rPr>
          <w:rFonts w:ascii="Titillium" w:hAnsi="Titillium" w:cs="Calibri"/>
          <w:bCs/>
          <w:iCs/>
          <w:sz w:val="18"/>
          <w:szCs w:val="18"/>
        </w:rPr>
        <w:t xml:space="preserve"> (PC)</w:t>
      </w:r>
      <w:r w:rsidR="00454251" w:rsidRPr="00AF6D20">
        <w:rPr>
          <w:rFonts w:ascii="Titillium" w:hAnsi="Titillium" w:cs="Calibri"/>
          <w:bCs/>
          <w:iCs/>
          <w:sz w:val="18"/>
          <w:szCs w:val="18"/>
        </w:rPr>
        <w:t xml:space="preserve"> </w:t>
      </w:r>
      <w:r w:rsidR="005922D6" w:rsidRPr="00AF6D20">
        <w:rPr>
          <w:rFonts w:ascii="Titillium" w:hAnsi="Titillium" w:cs="Calibri"/>
          <w:bCs/>
          <w:iCs/>
          <w:sz w:val="18"/>
          <w:szCs w:val="18"/>
        </w:rPr>
        <w:t xml:space="preserve"> è stato disposto </w:t>
      </w:r>
      <w:r w:rsidRPr="00AF6D20">
        <w:rPr>
          <w:rFonts w:ascii="Titillium" w:hAnsi="Titillium" w:cs="Calibri"/>
          <w:bCs/>
          <w:iCs/>
          <w:sz w:val="18"/>
          <w:szCs w:val="18"/>
        </w:rPr>
        <w:t>di affidare il servizio</w:t>
      </w:r>
      <w:r w:rsidR="005922D6" w:rsidRPr="00AF6D20">
        <w:rPr>
          <w:rFonts w:ascii="Titillium" w:hAnsi="Titillium" w:cs="Calibri"/>
          <w:bCs/>
          <w:iCs/>
          <w:sz w:val="18"/>
          <w:szCs w:val="18"/>
        </w:rPr>
        <w:t xml:space="preserve"> di </w:t>
      </w:r>
      <w:r w:rsidR="00225E00" w:rsidRPr="00AF6D20">
        <w:rPr>
          <w:rFonts w:ascii="Titillium" w:hAnsi="Titillium" w:cs="Calibri"/>
          <w:bCs/>
          <w:iCs/>
          <w:sz w:val="18"/>
          <w:szCs w:val="18"/>
        </w:rPr>
        <w:t>“GESTIONE E MANUTENZIONE DEGLI IMPIANTI SPORTIVI CALCISTICI DI PROPRIETA’ DEL COMUNE DI CASTEL SAN GIOVANNI DENOMINATI “CENTRO SPORTIVO P. SORESSI” E “</w:t>
      </w:r>
      <w:r w:rsidR="00225E00" w:rsidRPr="00225E00">
        <w:rPr>
          <w:rFonts w:ascii="Titillium" w:hAnsi="Titillium" w:cs="Calibri"/>
          <w:bCs/>
          <w:iCs/>
          <w:sz w:val="18"/>
          <w:szCs w:val="18"/>
        </w:rPr>
        <w:t>CAMPO FRAZIONALE DI FONTANA PRADOSA” PER IL PERIODO GENNAIO 2027 – GIUGNO 2030</w:t>
      </w:r>
      <w:r w:rsidR="00225E00">
        <w:rPr>
          <w:rFonts w:ascii="Titillium" w:hAnsi="Titillium" w:cs="Calibri"/>
          <w:bCs/>
          <w:iCs/>
          <w:sz w:val="18"/>
          <w:szCs w:val="18"/>
        </w:rPr>
        <w:t>”</w:t>
      </w:r>
      <w:r w:rsidR="009B47BD">
        <w:rPr>
          <w:rFonts w:ascii="Titillium" w:hAnsi="Titillium" w:cs="Calibri"/>
          <w:bCs/>
          <w:iCs/>
          <w:sz w:val="18"/>
          <w:szCs w:val="18"/>
        </w:rPr>
        <w:t>,</w:t>
      </w:r>
      <w:r w:rsidR="005922D6">
        <w:rPr>
          <w:rFonts w:ascii="Titillium" w:hAnsi="Titillium" w:cs="Calibri"/>
          <w:bCs/>
          <w:iCs/>
          <w:sz w:val="18"/>
          <w:szCs w:val="18"/>
        </w:rPr>
        <w:t xml:space="preserve"> </w:t>
      </w:r>
      <w:r>
        <w:rPr>
          <w:rFonts w:ascii="Titillium" w:hAnsi="Titillium" w:cs="Calibri"/>
          <w:bCs/>
          <w:iCs/>
          <w:sz w:val="18"/>
          <w:szCs w:val="18"/>
        </w:rPr>
        <w:t>conforme</w:t>
      </w:r>
      <w:r w:rsidR="000271A3">
        <w:rPr>
          <w:rFonts w:ascii="Titillium" w:hAnsi="Titillium" w:cs="Calibri"/>
          <w:bCs/>
          <w:iCs/>
          <w:sz w:val="18"/>
          <w:szCs w:val="18"/>
        </w:rPr>
        <w:t>mente</w:t>
      </w:r>
      <w:r>
        <w:rPr>
          <w:rFonts w:ascii="Titillium" w:hAnsi="Titillium" w:cs="Calibri"/>
          <w:bCs/>
          <w:iCs/>
          <w:sz w:val="18"/>
          <w:szCs w:val="18"/>
        </w:rPr>
        <w:t xml:space="preserve"> alle specifiche tecniche e a alle clausole contrattuali contenute nei </w:t>
      </w:r>
      <w:r w:rsidR="00DE72F8">
        <w:rPr>
          <w:rFonts w:ascii="Titillium" w:hAnsi="Titillium" w:cs="Calibri"/>
          <w:bCs/>
          <w:iCs/>
          <w:sz w:val="18"/>
          <w:szCs w:val="18"/>
        </w:rPr>
        <w:t>“</w:t>
      </w:r>
      <w:r w:rsidR="00C77EB3" w:rsidRPr="00DE72F8">
        <w:rPr>
          <w:rFonts w:ascii="Titillium" w:hAnsi="Titillium" w:cs="Calibri"/>
          <w:bCs/>
          <w:i/>
          <w:sz w:val="18"/>
          <w:szCs w:val="18"/>
        </w:rPr>
        <w:t>Criteri Ambientali Minimi per i servizi di pulizia e sanificazione di edifici e ambienti ad uso civile, sanitario e per i prodotti detergenti</w:t>
      </w:r>
      <w:r w:rsidR="00C77EB3" w:rsidRPr="00C77EB3">
        <w:rPr>
          <w:rFonts w:ascii="Titillium" w:hAnsi="Titillium" w:cs="Calibri"/>
          <w:bCs/>
          <w:iCs/>
          <w:sz w:val="18"/>
          <w:szCs w:val="18"/>
        </w:rPr>
        <w:t>” di cui al Decreto 29 gennaio 2021 del Ministero dell’ambiente - oggi Ministero della transizione ecologica, pubblicato sulla GURI n. 42 del 19 febbraio 2021, così come modificato dal Decreto Correttivo n. 24 settembre 2021 del Ministero della Transizione ecologica</w:t>
      </w:r>
      <w:r w:rsidR="00C77EB3">
        <w:rPr>
          <w:rFonts w:ascii="Titillium" w:hAnsi="Titillium" w:cs="Calibri"/>
          <w:bCs/>
          <w:i/>
          <w:iCs/>
          <w:sz w:val="18"/>
          <w:szCs w:val="18"/>
        </w:rPr>
        <w:t xml:space="preserve"> </w:t>
      </w:r>
      <w:r w:rsidR="00C77EB3" w:rsidRPr="00DE72F8">
        <w:rPr>
          <w:rFonts w:ascii="Titillium" w:hAnsi="Titillium" w:cs="Calibri"/>
          <w:bCs/>
          <w:sz w:val="18"/>
          <w:szCs w:val="18"/>
        </w:rPr>
        <w:t>e</w:t>
      </w:r>
      <w:r w:rsidR="00C77EB3">
        <w:rPr>
          <w:rFonts w:ascii="Titillium" w:hAnsi="Titillium" w:cs="Calibri"/>
          <w:bCs/>
          <w:i/>
          <w:iCs/>
          <w:sz w:val="18"/>
          <w:szCs w:val="18"/>
        </w:rPr>
        <w:t xml:space="preserve"> </w:t>
      </w:r>
      <w:r w:rsidR="00DE72F8" w:rsidRPr="00DE72F8">
        <w:rPr>
          <w:rFonts w:ascii="Titillium" w:hAnsi="Titillium" w:cs="Calibri"/>
          <w:bCs/>
          <w:sz w:val="18"/>
          <w:szCs w:val="18"/>
        </w:rPr>
        <w:t>dei</w:t>
      </w:r>
      <w:r w:rsidR="00DE72F8">
        <w:rPr>
          <w:rFonts w:ascii="Titillium" w:hAnsi="Titillium" w:cs="Calibri"/>
          <w:bCs/>
          <w:i/>
          <w:iCs/>
          <w:sz w:val="18"/>
          <w:szCs w:val="18"/>
        </w:rPr>
        <w:t xml:space="preserve"> </w:t>
      </w:r>
      <w:r w:rsidR="004613F4">
        <w:rPr>
          <w:rFonts w:ascii="Titillium" w:hAnsi="Titillium" w:cs="Calibri"/>
          <w:bCs/>
          <w:i/>
          <w:iCs/>
          <w:sz w:val="18"/>
          <w:szCs w:val="18"/>
        </w:rPr>
        <w:t>“</w:t>
      </w:r>
      <w:r w:rsidR="00DE72F8" w:rsidRPr="00DE72F8">
        <w:rPr>
          <w:rFonts w:ascii="Titillium" w:hAnsi="Titillium" w:cs="Calibri"/>
          <w:bCs/>
          <w:i/>
          <w:iCs/>
          <w:sz w:val="18"/>
          <w:szCs w:val="18"/>
        </w:rPr>
        <w:t>Criteri Ambientali Minimi del Servizio di gestione del verde pubblico e fornitura prodotti per la cura del verde</w:t>
      </w:r>
      <w:r w:rsidR="004613F4">
        <w:rPr>
          <w:rFonts w:ascii="Titillium" w:hAnsi="Titillium" w:cs="Calibri"/>
          <w:bCs/>
          <w:i/>
          <w:iCs/>
          <w:sz w:val="18"/>
          <w:szCs w:val="18"/>
        </w:rPr>
        <w:t>”</w:t>
      </w:r>
      <w:r w:rsidR="00DE72F8" w:rsidRPr="00DE72F8">
        <w:rPr>
          <w:rFonts w:ascii="Titillium" w:hAnsi="Titillium" w:cs="Calibri"/>
          <w:bCs/>
          <w:i/>
          <w:iCs/>
          <w:sz w:val="18"/>
          <w:szCs w:val="18"/>
        </w:rPr>
        <w:t xml:space="preserve"> </w:t>
      </w:r>
      <w:r w:rsidR="00DE72F8" w:rsidRPr="004613F4">
        <w:rPr>
          <w:rFonts w:ascii="Titillium" w:hAnsi="Titillium" w:cs="Calibri"/>
          <w:bCs/>
          <w:sz w:val="18"/>
          <w:szCs w:val="18"/>
        </w:rPr>
        <w:t>approvati con DM n. 63 del 10 marzo 2020 e pubblicato in G.U. n.90 del 4 aprile 2020</w:t>
      </w:r>
      <w:r w:rsidR="00D14FF9">
        <w:rPr>
          <w:rFonts w:ascii="Titillium" w:hAnsi="Titillium" w:cs="Calibri"/>
          <w:bCs/>
          <w:sz w:val="18"/>
          <w:szCs w:val="18"/>
        </w:rPr>
        <w:t>.</w:t>
      </w:r>
    </w:p>
    <w:tbl>
      <w:tblPr>
        <w:tblW w:w="9317" w:type="dxa"/>
        <w:jc w:val="center"/>
        <w:tblLook w:val="04A0" w:firstRow="1" w:lastRow="0" w:firstColumn="1" w:lastColumn="0" w:noHBand="0" w:noVBand="1"/>
      </w:tblPr>
      <w:tblGrid>
        <w:gridCol w:w="9317"/>
      </w:tblGrid>
      <w:tr w:rsidR="004C53A8" w14:paraId="3C1D9F88" w14:textId="77777777" w:rsidTr="00F9464A">
        <w:trPr>
          <w:jc w:val="center"/>
        </w:trPr>
        <w:tc>
          <w:tcPr>
            <w:tcW w:w="9317" w:type="dxa"/>
            <w:tcBorders>
              <w:top w:val="single" w:sz="4" w:space="0" w:color="000000"/>
              <w:left w:val="single" w:sz="4" w:space="0" w:color="000000"/>
              <w:bottom w:val="single" w:sz="4" w:space="0" w:color="000000"/>
              <w:right w:val="single" w:sz="4" w:space="0" w:color="000000"/>
            </w:tcBorders>
          </w:tcPr>
          <w:p w14:paraId="1C57B6DE" w14:textId="6120E5E7" w:rsidR="004C53A8" w:rsidRPr="00F7091A" w:rsidRDefault="00870286" w:rsidP="008816E2">
            <w:pPr>
              <w:spacing w:before="60" w:after="60"/>
              <w:rPr>
                <w:rFonts w:ascii="Titillium" w:hAnsi="Titillium" w:cs="Calibri"/>
                <w:sz w:val="18"/>
                <w:szCs w:val="18"/>
              </w:rPr>
            </w:pPr>
            <w:r w:rsidRPr="00F7091A">
              <w:rPr>
                <w:rFonts w:ascii="Titillium" w:hAnsi="Titillium" w:cs="Calibri"/>
                <w:sz w:val="18"/>
                <w:szCs w:val="18"/>
              </w:rPr>
              <w:t>N.B.: Di seguito si riporta il link dove è possibile consultare i CAM adottati dal Ministero dell</w:t>
            </w:r>
            <w:r w:rsidR="00B30E15" w:rsidRPr="00F7091A">
              <w:rPr>
                <w:rFonts w:ascii="Titillium" w:hAnsi="Titillium" w:cs="Calibri"/>
                <w:sz w:val="18"/>
                <w:szCs w:val="18"/>
              </w:rPr>
              <w:t>a Trans</w:t>
            </w:r>
            <w:r w:rsidR="00E526B2" w:rsidRPr="00F7091A">
              <w:rPr>
                <w:rFonts w:ascii="Titillium" w:hAnsi="Titillium" w:cs="Calibri"/>
                <w:sz w:val="18"/>
                <w:szCs w:val="18"/>
              </w:rPr>
              <w:t>i</w:t>
            </w:r>
            <w:r w:rsidR="00B30E15" w:rsidRPr="00F7091A">
              <w:rPr>
                <w:rFonts w:ascii="Titillium" w:hAnsi="Titillium" w:cs="Calibri"/>
                <w:sz w:val="18"/>
                <w:szCs w:val="18"/>
              </w:rPr>
              <w:t>zione ecologica</w:t>
            </w:r>
            <w:r w:rsidRPr="00F7091A">
              <w:rPr>
                <w:rFonts w:ascii="Titillium" w:hAnsi="Titillium" w:cs="Calibri"/>
                <w:sz w:val="18"/>
                <w:szCs w:val="18"/>
              </w:rPr>
              <w:t xml:space="preserve">: </w:t>
            </w:r>
          </w:p>
          <w:p w14:paraId="40634A13" w14:textId="48DACFD6" w:rsidR="008816E2" w:rsidRPr="00F7091A" w:rsidRDefault="00077C38" w:rsidP="008816E2">
            <w:pPr>
              <w:spacing w:before="60" w:after="60"/>
              <w:rPr>
                <w:rFonts w:ascii="Titillium" w:hAnsi="Titillium" w:cs="Calibri"/>
                <w:sz w:val="18"/>
                <w:szCs w:val="18"/>
              </w:rPr>
            </w:pPr>
            <w:hyperlink r:id="rId12" w:history="1">
              <w:r w:rsidRPr="00F7091A">
                <w:rPr>
                  <w:rStyle w:val="Collegamentoipertestuale"/>
                  <w:rFonts w:ascii="Titillium" w:hAnsi="Titillium"/>
                  <w:sz w:val="18"/>
                  <w:szCs w:val="18"/>
                </w:rPr>
                <w:t>https://gpp.mase.gov.it/CAM-vigenti</w:t>
              </w:r>
            </w:hyperlink>
            <w:r w:rsidRPr="00F7091A">
              <w:rPr>
                <w:rFonts w:ascii="Titillium" w:hAnsi="Titillium"/>
                <w:sz w:val="18"/>
                <w:szCs w:val="18"/>
              </w:rPr>
              <w:t xml:space="preserve"> </w:t>
            </w:r>
          </w:p>
        </w:tc>
      </w:tr>
    </w:tbl>
    <w:p w14:paraId="3A4BB1A2" w14:textId="77777777" w:rsidR="00113098" w:rsidRDefault="00113098" w:rsidP="00113098">
      <w:pPr>
        <w:pStyle w:val="Testocommento"/>
        <w:rPr>
          <w:rFonts w:ascii="Titillium" w:hAnsi="Titillium" w:cs="Calibri"/>
          <w:bCs/>
          <w:iCs/>
          <w:sz w:val="18"/>
          <w:szCs w:val="18"/>
          <w:lang w:val="it-IT" w:eastAsia="it-IT"/>
        </w:rPr>
      </w:pPr>
    </w:p>
    <w:p w14:paraId="256BEBAF" w14:textId="59DCA36C" w:rsidR="00EB38A7" w:rsidRPr="000442EC" w:rsidRDefault="00EB38A7" w:rsidP="00113098">
      <w:pPr>
        <w:pStyle w:val="Testocommento"/>
        <w:rPr>
          <w:rFonts w:ascii="Titillium" w:hAnsi="Titillium" w:cs="Calibri"/>
          <w:bCs/>
          <w:iCs/>
          <w:sz w:val="18"/>
          <w:szCs w:val="18"/>
          <w:lang w:val="it-IT" w:eastAsia="it-IT"/>
        </w:rPr>
      </w:pPr>
      <w:r w:rsidRPr="000442EC">
        <w:rPr>
          <w:rFonts w:ascii="Titillium" w:hAnsi="Titillium" w:cs="Calibri"/>
          <w:bCs/>
          <w:iCs/>
          <w:sz w:val="18"/>
          <w:szCs w:val="18"/>
          <w:lang w:val="it-IT" w:eastAsia="it-IT"/>
        </w:rPr>
        <w:t>Il servizio di cui al presente affidamento, si configura quale servizio pubblico locale non a rete di interesse generale soggetto, quindi, al rispetto degli obblighi di servizio pubblico e alla disciplina di cui al d.lgs. 201/2022.</w:t>
      </w:r>
    </w:p>
    <w:p w14:paraId="1991609C" w14:textId="77777777" w:rsidR="00DD3A62" w:rsidRPr="00305D5E" w:rsidRDefault="00DD3A62" w:rsidP="00DD3A62">
      <w:pPr>
        <w:spacing w:before="60" w:after="60"/>
        <w:rPr>
          <w:rFonts w:ascii="Titillium" w:hAnsi="Titillium" w:cs="Calibri"/>
          <w:bCs/>
          <w:iCs/>
          <w:sz w:val="18"/>
          <w:szCs w:val="18"/>
        </w:rPr>
      </w:pPr>
      <w:r w:rsidRPr="000442EC">
        <w:rPr>
          <w:rFonts w:ascii="Titillium" w:hAnsi="Titillium" w:cs="Calibri"/>
          <w:bCs/>
          <w:iCs/>
          <w:sz w:val="18"/>
          <w:szCs w:val="18"/>
        </w:rPr>
        <w:t>La Provincia di Piacenza possiede la qualificazione definitiva al livello SF1 ai sensi dell’art. 63 e dell’art. 5, comma</w:t>
      </w:r>
      <w:r w:rsidRPr="00305D5E">
        <w:rPr>
          <w:rFonts w:ascii="Titillium" w:hAnsi="Titillium" w:cs="Calibri"/>
          <w:bCs/>
          <w:iCs/>
          <w:sz w:val="18"/>
          <w:szCs w:val="18"/>
        </w:rPr>
        <w:t xml:space="preserve"> 1, lettera c), dell’allegato II.4 al D.lgs. 36/2023.</w:t>
      </w:r>
    </w:p>
    <w:p w14:paraId="7933FF29" w14:textId="20DB3D9A" w:rsidR="00DD3A62" w:rsidRDefault="00DD3A62" w:rsidP="00DD3A62">
      <w:pPr>
        <w:spacing w:before="60" w:after="60"/>
        <w:rPr>
          <w:rFonts w:ascii="Titillium" w:hAnsi="Titillium" w:cs="Calibri"/>
          <w:bCs/>
          <w:iCs/>
          <w:sz w:val="18"/>
          <w:szCs w:val="18"/>
        </w:rPr>
      </w:pPr>
      <w:r>
        <w:rPr>
          <w:rFonts w:ascii="Titillium" w:hAnsi="Titillium" w:cs="Calibri"/>
          <w:bCs/>
          <w:iCs/>
          <w:sz w:val="18"/>
          <w:szCs w:val="18"/>
        </w:rPr>
        <w:t>Il Comune di Castel San Giovanni</w:t>
      </w:r>
      <w:r w:rsidRPr="00305D5E">
        <w:rPr>
          <w:rFonts w:ascii="Titillium" w:hAnsi="Titillium" w:cs="Calibri"/>
          <w:bCs/>
          <w:iCs/>
          <w:sz w:val="18"/>
          <w:szCs w:val="18"/>
        </w:rPr>
        <w:t xml:space="preserve"> possiede la qualificazione definitiva al livello</w:t>
      </w:r>
      <w:r>
        <w:rPr>
          <w:rFonts w:ascii="Titillium" w:hAnsi="Titillium" w:cs="Calibri"/>
          <w:bCs/>
          <w:iCs/>
          <w:sz w:val="18"/>
          <w:szCs w:val="18"/>
        </w:rPr>
        <w:t xml:space="preserve"> SF3.</w:t>
      </w:r>
    </w:p>
    <w:p w14:paraId="5AD0B477" w14:textId="77777777" w:rsidR="00DD3A62" w:rsidRPr="000A259C" w:rsidRDefault="00DD3A62" w:rsidP="00DD3A62">
      <w:pPr>
        <w:spacing w:before="60" w:after="60"/>
        <w:rPr>
          <w:rFonts w:ascii="Titillium" w:hAnsi="Titillium" w:cs="Calibri"/>
          <w:b/>
          <w:iCs/>
          <w:sz w:val="18"/>
          <w:szCs w:val="18"/>
        </w:rPr>
      </w:pPr>
      <w:r w:rsidRPr="000A259C">
        <w:rPr>
          <w:rFonts w:ascii="Titillium" w:hAnsi="Titillium" w:cs="Calibri"/>
          <w:b/>
          <w:iCs/>
          <w:sz w:val="18"/>
          <w:szCs w:val="18"/>
        </w:rPr>
        <w:t>Amministrazioni aggiudicatrici responsabili della procedura</w:t>
      </w:r>
    </w:p>
    <w:p w14:paraId="13A81AB7" w14:textId="77777777" w:rsidR="00DD3A62" w:rsidRPr="000A259C" w:rsidRDefault="00DD3A62" w:rsidP="00DD3A62">
      <w:pPr>
        <w:spacing w:before="60" w:after="60"/>
        <w:rPr>
          <w:rFonts w:ascii="Titillium" w:hAnsi="Titillium" w:cs="Calibri"/>
          <w:bCs/>
          <w:iCs/>
          <w:sz w:val="18"/>
          <w:szCs w:val="18"/>
        </w:rPr>
      </w:pPr>
      <w:r w:rsidRPr="000A259C">
        <w:rPr>
          <w:rFonts w:ascii="Titillium" w:hAnsi="Titillium" w:cs="Calibri"/>
          <w:b/>
          <w:iCs/>
          <w:sz w:val="18"/>
          <w:szCs w:val="18"/>
        </w:rPr>
        <w:t>Stazione Unica Appaltante della Provincia di Piacenza</w:t>
      </w:r>
      <w:r w:rsidRPr="000A259C">
        <w:rPr>
          <w:rFonts w:ascii="Titillium" w:hAnsi="Titillium" w:cs="Calibri"/>
          <w:bCs/>
          <w:iCs/>
          <w:sz w:val="18"/>
          <w:szCs w:val="18"/>
        </w:rPr>
        <w:t>, Corso Garibaldi, 50, 29121 Piacenza (PC), Persona di contatto: dott.ssa Paola Magnaschi, tel.: 0523/795283 E-mail: provpc@cert.provincia.pc.it, indirizzo Internet (URL): https://www.provincia.pc.it</w:t>
      </w:r>
    </w:p>
    <w:p w14:paraId="33159E05" w14:textId="7CAA23BD" w:rsidR="00DD3A62" w:rsidRPr="002D729D" w:rsidRDefault="00DD3A62" w:rsidP="00DD3A62">
      <w:pPr>
        <w:spacing w:before="60" w:after="60"/>
        <w:rPr>
          <w:rFonts w:ascii="Titillium" w:hAnsi="Titillium" w:cs="Calibri"/>
          <w:bCs/>
          <w:iCs/>
          <w:sz w:val="18"/>
          <w:szCs w:val="18"/>
        </w:rPr>
      </w:pPr>
      <w:r w:rsidRPr="007829B7">
        <w:rPr>
          <w:rFonts w:ascii="Titillium" w:hAnsi="Titillium" w:cs="Calibri"/>
          <w:b/>
          <w:iCs/>
          <w:sz w:val="18"/>
          <w:szCs w:val="18"/>
        </w:rPr>
        <w:t xml:space="preserve">Comune di </w:t>
      </w:r>
      <w:r>
        <w:rPr>
          <w:rFonts w:ascii="Titillium" w:hAnsi="Titillium" w:cs="Calibri"/>
          <w:b/>
          <w:iCs/>
          <w:sz w:val="18"/>
          <w:szCs w:val="18"/>
        </w:rPr>
        <w:t>Castel San Giovanni</w:t>
      </w:r>
      <w:r w:rsidRPr="007829B7">
        <w:rPr>
          <w:rFonts w:ascii="Titillium" w:hAnsi="Titillium" w:cs="Calibri"/>
          <w:bCs/>
          <w:iCs/>
          <w:sz w:val="18"/>
          <w:szCs w:val="18"/>
        </w:rPr>
        <w:t xml:space="preserve"> </w:t>
      </w:r>
      <w:r w:rsidRPr="007829B7">
        <w:rPr>
          <w:rFonts w:ascii="Titillium" w:hAnsi="Titillium" w:cs="Calibri"/>
          <w:b/>
          <w:iCs/>
          <w:sz w:val="18"/>
          <w:szCs w:val="18"/>
        </w:rPr>
        <w:t>(PC</w:t>
      </w:r>
      <w:r w:rsidR="002D729D">
        <w:rPr>
          <w:rFonts w:ascii="Titillium" w:hAnsi="Titillium" w:cs="Calibri"/>
          <w:b/>
          <w:iCs/>
          <w:sz w:val="18"/>
          <w:szCs w:val="18"/>
        </w:rPr>
        <w:t>),</w:t>
      </w:r>
      <w:r w:rsidR="002D729D" w:rsidRPr="002D729D">
        <w:t xml:space="preserve"> </w:t>
      </w:r>
      <w:r w:rsidR="002D729D" w:rsidRPr="002D729D">
        <w:rPr>
          <w:rFonts w:ascii="Titillium" w:hAnsi="Titillium" w:cs="Calibri"/>
          <w:bCs/>
          <w:iCs/>
          <w:sz w:val="18"/>
          <w:szCs w:val="18"/>
        </w:rPr>
        <w:t>Piazza XX Settembre, 2, 29015 Castel San Giovanni (PC), E-mail: comune.castelsangiovanni@sintranet.legalmail.it, indirizzo Internet (URL): http://www.comune.castelsangiovanni.pc.it</w:t>
      </w:r>
      <w:r w:rsidR="002D729D">
        <w:rPr>
          <w:rFonts w:ascii="Titillium" w:hAnsi="Titillium" w:cs="Calibri"/>
          <w:bCs/>
          <w:iCs/>
          <w:sz w:val="18"/>
          <w:szCs w:val="18"/>
        </w:rPr>
        <w:t>.</w:t>
      </w:r>
    </w:p>
    <w:p w14:paraId="5F5C00DA" w14:textId="77777777" w:rsidR="00DD3A62" w:rsidRPr="00FD0D12" w:rsidRDefault="00DD3A62" w:rsidP="00DD3A62">
      <w:pPr>
        <w:pStyle w:val="Testocommento"/>
        <w:spacing w:before="60" w:after="60"/>
        <w:rPr>
          <w:rFonts w:ascii="Titillium" w:hAnsi="Titillium" w:cs="Calibri"/>
          <w:bCs/>
          <w:iCs/>
          <w:sz w:val="18"/>
          <w:szCs w:val="18"/>
          <w:lang w:val="it-IT" w:eastAsia="it-IT"/>
        </w:rPr>
      </w:pPr>
      <w:r w:rsidRPr="00FD0D12">
        <w:rPr>
          <w:rFonts w:ascii="Titillium" w:hAnsi="Titillium" w:cs="Calibri"/>
          <w:b/>
          <w:iCs/>
          <w:sz w:val="18"/>
          <w:szCs w:val="18"/>
          <w:lang w:val="it-IT" w:eastAsia="it-IT"/>
        </w:rPr>
        <w:t>Organo responsabile delle procedure di ricorso</w:t>
      </w:r>
      <w:r w:rsidRPr="00FD0D12">
        <w:rPr>
          <w:rFonts w:ascii="Titillium" w:hAnsi="Titillium" w:cs="Calibri"/>
          <w:bCs/>
          <w:iCs/>
          <w:sz w:val="18"/>
          <w:szCs w:val="18"/>
          <w:lang w:val="it-IT" w:eastAsia="it-IT"/>
        </w:rPr>
        <w:t>: TAR Emilia-Romagna con sede in Parma; termini per la proposizione del ricorso: 30 giorni.</w:t>
      </w:r>
    </w:p>
    <w:p w14:paraId="67999FA2" w14:textId="77777777" w:rsidR="00DD3A62" w:rsidRDefault="00DD3A62" w:rsidP="00DD3A62">
      <w:pPr>
        <w:pStyle w:val="Testocommento"/>
        <w:spacing w:before="60" w:after="60"/>
        <w:rPr>
          <w:rFonts w:ascii="Titillium" w:hAnsi="Titillium" w:cs="Calibri"/>
          <w:bCs/>
          <w:iCs/>
          <w:sz w:val="18"/>
          <w:szCs w:val="18"/>
          <w:lang w:val="it-IT" w:eastAsia="it-IT"/>
        </w:rPr>
      </w:pPr>
      <w:r w:rsidRPr="00FD0D12">
        <w:rPr>
          <w:rFonts w:ascii="Titillium" w:hAnsi="Titillium" w:cs="Calibri"/>
          <w:bCs/>
          <w:iCs/>
          <w:sz w:val="18"/>
          <w:szCs w:val="18"/>
          <w:lang w:val="it-IT" w:eastAsia="it-IT"/>
        </w:rPr>
        <w:t>La presente procedura è disciplinata dall’accordo sugli appalti pubblici.</w:t>
      </w:r>
    </w:p>
    <w:p w14:paraId="0B8DEE09" w14:textId="77777777" w:rsidR="00DD3A62" w:rsidRDefault="00DD3A62" w:rsidP="00DD3A62">
      <w:pPr>
        <w:pStyle w:val="Testocommento"/>
        <w:rPr>
          <w:rFonts w:ascii="Titillium" w:hAnsi="Titillium" w:cs="Calibri"/>
          <w:bCs/>
          <w:iCs/>
          <w:sz w:val="18"/>
          <w:szCs w:val="18"/>
          <w:lang w:val="it-IT" w:eastAsia="it-IT"/>
        </w:rPr>
      </w:pPr>
      <w:r w:rsidRPr="00AF481C">
        <w:rPr>
          <w:rFonts w:ascii="Titillium" w:hAnsi="Titillium" w:cs="Calibri"/>
          <w:bCs/>
          <w:iCs/>
          <w:sz w:val="18"/>
          <w:szCs w:val="18"/>
          <w:lang w:val="it-IT" w:eastAsia="it-IT"/>
        </w:rPr>
        <w:t xml:space="preserve">La presente procedura è interamente svolta tramite la PAD </w:t>
      </w:r>
      <w:r w:rsidRPr="00113098">
        <w:rPr>
          <w:rFonts w:ascii="Titillium" w:hAnsi="Titillium" w:cs="Calibri"/>
          <w:bCs/>
          <w:iCs/>
          <w:sz w:val="18"/>
          <w:szCs w:val="18"/>
          <w:lang w:val="it-IT" w:eastAsia="it-IT"/>
        </w:rPr>
        <w:t xml:space="preserve">accessibile all’indirizzo </w:t>
      </w:r>
      <w:hyperlink r:id="rId13" w:history="1">
        <w:r w:rsidRPr="00113098">
          <w:rPr>
            <w:rStyle w:val="Collegamentoipertestuale"/>
            <w:rFonts w:ascii="Titillium" w:hAnsi="Titillium" w:cs="Calibri"/>
            <w:bCs/>
            <w:iCs/>
            <w:sz w:val="18"/>
            <w:szCs w:val="18"/>
            <w:lang w:val="it-IT" w:eastAsia="it-IT"/>
          </w:rPr>
          <w:t>http://intercenter.regione.emilia-</w:t>
        </w:r>
      </w:hyperlink>
      <w:r w:rsidRPr="00113098">
        <w:rPr>
          <w:rFonts w:ascii="Titillium" w:hAnsi="Titillium" w:cs="Calibri"/>
          <w:bCs/>
          <w:iCs/>
          <w:sz w:val="18"/>
          <w:szCs w:val="18"/>
          <w:u w:val="single"/>
          <w:lang w:val="it-IT" w:eastAsia="it-IT"/>
        </w:rPr>
        <w:t xml:space="preserve"> </w:t>
      </w:r>
      <w:hyperlink r:id="rId14" w:history="1">
        <w:r w:rsidRPr="00113098">
          <w:rPr>
            <w:rStyle w:val="Collegamentoipertestuale"/>
            <w:rFonts w:ascii="Titillium" w:hAnsi="Titillium" w:cs="Calibri"/>
            <w:bCs/>
            <w:iCs/>
            <w:sz w:val="18"/>
            <w:szCs w:val="18"/>
            <w:lang w:val="it-IT" w:eastAsia="it-IT"/>
          </w:rPr>
          <w:t xml:space="preserve">romagna.it/ </w:t>
        </w:r>
      </w:hyperlink>
    </w:p>
    <w:p w14:paraId="5EF17D20" w14:textId="77777777" w:rsidR="00DD3A62" w:rsidRDefault="00DD3A62" w:rsidP="00DD3A62">
      <w:pPr>
        <w:pStyle w:val="Testocommento"/>
        <w:spacing w:before="60" w:after="60"/>
      </w:pPr>
      <w:r w:rsidRPr="00AF481C">
        <w:rPr>
          <w:rFonts w:ascii="Titillium" w:hAnsi="Titillium" w:cs="Calibri"/>
          <w:bCs/>
          <w:iCs/>
          <w:sz w:val="18"/>
          <w:szCs w:val="18"/>
          <w:lang w:val="it-IT" w:eastAsia="it-IT"/>
        </w:rPr>
        <w:lastRenderedPageBreak/>
        <w:t>L’affidamento avviene mediante procedura aperta con applicazione del criterio dell’offerta economicamente più vantaggiosa individuata sulla base del miglior rapporto qualità prezzo.</w:t>
      </w:r>
    </w:p>
    <w:p w14:paraId="715A14C1" w14:textId="77777777" w:rsidR="00DD3A62" w:rsidRPr="00291BCB" w:rsidRDefault="00DD3A62" w:rsidP="00DD3A62">
      <w:pPr>
        <w:suppressAutoHyphens/>
        <w:spacing w:before="120" w:after="120" w:line="360" w:lineRule="auto"/>
        <w:rPr>
          <w:rFonts w:ascii="Titillium" w:hAnsi="Titillium" w:cs="Calibri"/>
          <w:bCs/>
          <w:sz w:val="18"/>
          <w:szCs w:val="18"/>
          <w:lang w:eastAsia="it-IT"/>
        </w:rPr>
      </w:pPr>
      <w:r w:rsidRPr="00291BCB">
        <w:rPr>
          <w:rFonts w:ascii="Titillium" w:hAnsi="Titillium" w:cs="Calibri"/>
          <w:bCs/>
          <w:iCs/>
          <w:sz w:val="18"/>
          <w:szCs w:val="18"/>
        </w:rPr>
        <w:t xml:space="preserve">La durata del procedimento è prevista pari a 9 mesi dalla pubblicazione del bando, </w:t>
      </w:r>
      <w:r w:rsidRPr="00291BCB">
        <w:rPr>
          <w:rFonts w:ascii="Titillium" w:hAnsi="Titillium" w:cs="Calibri"/>
          <w:bCs/>
          <w:sz w:val="18"/>
          <w:szCs w:val="18"/>
          <w:lang w:eastAsia="it-IT"/>
        </w:rPr>
        <w:t>salvo il verificarsi delle ipotesi di proroga previste all’articolo 1, commi 4 e 5, dell’allegato I.3 del Codice</w:t>
      </w:r>
      <w:r>
        <w:rPr>
          <w:rFonts w:ascii="Titillium" w:hAnsi="Titillium" w:cs="Calibri"/>
          <w:bCs/>
          <w:sz w:val="18"/>
          <w:szCs w:val="18"/>
          <w:lang w:eastAsia="it-IT"/>
        </w:rPr>
        <w:t>.</w:t>
      </w:r>
    </w:p>
    <w:p w14:paraId="516BC04C" w14:textId="77777777" w:rsidR="00DD3A62" w:rsidRPr="00C15745" w:rsidRDefault="00DD3A62" w:rsidP="00DD3A62">
      <w:pPr>
        <w:tabs>
          <w:tab w:val="left" w:pos="360"/>
        </w:tabs>
        <w:spacing w:before="60" w:after="60"/>
        <w:rPr>
          <w:rFonts w:ascii="Titillium" w:hAnsi="Titillium" w:cs="Calibri"/>
          <w:bCs/>
          <w:iCs/>
          <w:sz w:val="18"/>
          <w:szCs w:val="18"/>
        </w:rPr>
      </w:pPr>
      <w:r w:rsidRPr="00C15745">
        <w:rPr>
          <w:rFonts w:ascii="Titillium" w:hAnsi="Titillium" w:cs="Calibri"/>
          <w:b/>
          <w:bCs/>
          <w:iCs/>
          <w:sz w:val="18"/>
          <w:szCs w:val="18"/>
        </w:rPr>
        <w:t>Luogo di</w:t>
      </w:r>
      <w:r w:rsidRPr="00C15745">
        <w:rPr>
          <w:rFonts w:ascii="Titillium" w:hAnsi="Titillium" w:cs="Calibri"/>
          <w:b/>
          <w:bCs/>
          <w:i/>
          <w:iCs/>
          <w:sz w:val="18"/>
          <w:szCs w:val="18"/>
        </w:rPr>
        <w:t xml:space="preserve"> </w:t>
      </w:r>
      <w:r w:rsidRPr="00C15745">
        <w:rPr>
          <w:rFonts w:ascii="Titillium" w:hAnsi="Titillium" w:cs="Calibri"/>
          <w:b/>
          <w:bCs/>
          <w:iCs/>
          <w:sz w:val="18"/>
          <w:szCs w:val="18"/>
        </w:rPr>
        <w:t>svolgimento del servizio</w:t>
      </w:r>
      <w:r w:rsidRPr="00C15745">
        <w:rPr>
          <w:rFonts w:ascii="Titillium" w:hAnsi="Titillium" w:cs="Calibri"/>
          <w:bCs/>
          <w:iCs/>
          <w:sz w:val="18"/>
          <w:szCs w:val="18"/>
        </w:rPr>
        <w:t xml:space="preserve">: Comune di </w:t>
      </w:r>
      <w:r>
        <w:rPr>
          <w:rFonts w:ascii="Titillium" w:hAnsi="Titillium" w:cs="Calibri"/>
          <w:bCs/>
          <w:iCs/>
          <w:sz w:val="18"/>
          <w:szCs w:val="18"/>
        </w:rPr>
        <w:t>Castel San Giovanni</w:t>
      </w:r>
      <w:r w:rsidRPr="00C15745">
        <w:rPr>
          <w:rFonts w:ascii="Titillium" w:hAnsi="Titillium" w:cs="Calibri"/>
          <w:bCs/>
          <w:iCs/>
          <w:sz w:val="18"/>
          <w:szCs w:val="18"/>
        </w:rPr>
        <w:t xml:space="preserve"> (CODICE ISTAT: 0330</w:t>
      </w:r>
      <w:r>
        <w:rPr>
          <w:rFonts w:ascii="Titillium" w:hAnsi="Titillium" w:cs="Calibri"/>
          <w:bCs/>
          <w:iCs/>
          <w:sz w:val="18"/>
          <w:szCs w:val="18"/>
        </w:rPr>
        <w:t>13</w:t>
      </w:r>
      <w:r w:rsidRPr="00C15745">
        <w:rPr>
          <w:rFonts w:ascii="Titillium" w:hAnsi="Titillium" w:cs="Calibri"/>
          <w:bCs/>
          <w:iCs/>
          <w:sz w:val="18"/>
          <w:szCs w:val="18"/>
        </w:rPr>
        <w:t xml:space="preserve">) - (codice NUTS ITH51)  </w:t>
      </w:r>
    </w:p>
    <w:p w14:paraId="2DBD0BB0" w14:textId="77777777" w:rsidR="00DD3A62" w:rsidRPr="00C15745" w:rsidRDefault="00DD3A62" w:rsidP="00DD3A62">
      <w:pPr>
        <w:spacing w:before="60" w:after="60"/>
        <w:rPr>
          <w:rFonts w:ascii="Titillium" w:hAnsi="Titillium" w:cs="Calibri"/>
          <w:bCs/>
          <w:iCs/>
          <w:sz w:val="18"/>
          <w:szCs w:val="18"/>
          <w:lang w:eastAsia="it-IT"/>
        </w:rPr>
      </w:pPr>
      <w:r w:rsidRPr="00C15745">
        <w:rPr>
          <w:rFonts w:ascii="Titillium" w:hAnsi="Titillium" w:cs="Calibri"/>
          <w:b/>
          <w:bCs/>
          <w:iCs/>
          <w:sz w:val="18"/>
          <w:szCs w:val="18"/>
        </w:rPr>
        <w:t>CIG: ……………</w:t>
      </w:r>
    </w:p>
    <w:p w14:paraId="7D618CB2" w14:textId="08ADB8C7" w:rsidR="00DD3A62" w:rsidRPr="001F4765" w:rsidRDefault="00DD3A62" w:rsidP="00DD3A62">
      <w:pPr>
        <w:tabs>
          <w:tab w:val="left" w:pos="360"/>
        </w:tabs>
        <w:spacing w:before="60" w:after="60"/>
        <w:rPr>
          <w:rFonts w:ascii="Titillium" w:hAnsi="Titillium" w:cs="Calibri"/>
          <w:b/>
          <w:i/>
          <w:iCs/>
          <w:sz w:val="18"/>
          <w:szCs w:val="18"/>
        </w:rPr>
      </w:pPr>
      <w:r w:rsidRPr="001F4765">
        <w:rPr>
          <w:rFonts w:ascii="Titillium" w:hAnsi="Titillium" w:cs="Calibri"/>
          <w:b/>
          <w:iCs/>
          <w:sz w:val="18"/>
          <w:szCs w:val="18"/>
        </w:rPr>
        <w:t>CUI</w:t>
      </w:r>
      <w:r w:rsidR="00AD4172" w:rsidRPr="001F4765">
        <w:rPr>
          <w:rFonts w:ascii="Titillium" w:hAnsi="Titillium" w:cs="Calibri"/>
          <w:b/>
          <w:iCs/>
          <w:sz w:val="18"/>
          <w:szCs w:val="18"/>
        </w:rPr>
        <w:t xml:space="preserve">: </w:t>
      </w:r>
      <w:r w:rsidR="00A2714F" w:rsidRPr="00A2714F">
        <w:rPr>
          <w:rFonts w:ascii="Titillium" w:hAnsi="Titillium" w:cs="Calibri"/>
          <w:b/>
          <w:iCs/>
          <w:sz w:val="18"/>
          <w:szCs w:val="18"/>
        </w:rPr>
        <w:t>232420331202400003</w:t>
      </w:r>
    </w:p>
    <w:p w14:paraId="3BE7C5D4" w14:textId="3A0BF24C" w:rsidR="00113098" w:rsidRPr="00113098" w:rsidRDefault="00113098" w:rsidP="00E5339A">
      <w:pPr>
        <w:spacing w:before="60" w:after="60"/>
        <w:rPr>
          <w:rFonts w:ascii="Titillium" w:hAnsi="Titillium" w:cs="Calibri"/>
          <w:bCs/>
          <w:iCs/>
          <w:sz w:val="18"/>
          <w:szCs w:val="18"/>
          <w:lang w:bidi="it-IT"/>
        </w:rPr>
      </w:pPr>
      <w:r>
        <w:rPr>
          <w:rFonts w:ascii="Titillium" w:hAnsi="Titillium" w:cs="Calibri"/>
          <w:b/>
          <w:bCs/>
          <w:iCs/>
          <w:sz w:val="18"/>
          <w:szCs w:val="18"/>
          <w:lang w:bidi="it-IT"/>
        </w:rPr>
        <w:t xml:space="preserve">Responsabile Unico del Progetto </w:t>
      </w:r>
      <w:r w:rsidRPr="00113098">
        <w:rPr>
          <w:rFonts w:ascii="Titillium" w:hAnsi="Titillium" w:cs="Calibri"/>
          <w:bCs/>
          <w:iCs/>
          <w:sz w:val="18"/>
          <w:szCs w:val="18"/>
          <w:lang w:bidi="it-IT"/>
        </w:rPr>
        <w:t xml:space="preserve">è </w:t>
      </w:r>
      <w:r w:rsidR="00EA547B">
        <w:rPr>
          <w:rFonts w:ascii="Titillium" w:hAnsi="Titillium" w:cs="Calibri"/>
          <w:bCs/>
          <w:iCs/>
          <w:sz w:val="18"/>
          <w:szCs w:val="18"/>
          <w:lang w:bidi="it-IT"/>
        </w:rPr>
        <w:t>l</w:t>
      </w:r>
      <w:r w:rsidR="00E01BEF">
        <w:rPr>
          <w:rFonts w:ascii="Titillium" w:hAnsi="Titillium" w:cs="Calibri"/>
          <w:bCs/>
          <w:iCs/>
          <w:sz w:val="18"/>
          <w:szCs w:val="18"/>
          <w:lang w:bidi="it-IT"/>
        </w:rPr>
        <w:t>a Dott.ssa Stefania Bellani</w:t>
      </w:r>
      <w:r w:rsidRPr="00066C35">
        <w:rPr>
          <w:rFonts w:ascii="Titillium" w:hAnsi="Titillium" w:cs="Calibri"/>
          <w:bCs/>
          <w:iCs/>
          <w:sz w:val="18"/>
          <w:szCs w:val="18"/>
          <w:lang w:bidi="it-IT"/>
        </w:rPr>
        <w:t>, Responsabile</w:t>
      </w:r>
      <w:r>
        <w:rPr>
          <w:rFonts w:ascii="Titillium" w:hAnsi="Titillium" w:cs="Calibri"/>
          <w:bCs/>
          <w:iCs/>
          <w:sz w:val="18"/>
          <w:szCs w:val="18"/>
          <w:lang w:bidi="it-IT"/>
        </w:rPr>
        <w:t xml:space="preserve"> del </w:t>
      </w:r>
      <w:r w:rsidR="00E5339A" w:rsidRPr="00E5339A">
        <w:rPr>
          <w:rFonts w:ascii="Titillium" w:hAnsi="Titillium" w:cs="Calibri"/>
          <w:bCs/>
          <w:iCs/>
          <w:sz w:val="18"/>
          <w:szCs w:val="18"/>
          <w:lang w:bidi="it-IT"/>
        </w:rPr>
        <w:t xml:space="preserve">Settore </w:t>
      </w:r>
      <w:r w:rsidR="001E48EE" w:rsidRPr="001E48EE">
        <w:rPr>
          <w:rFonts w:ascii="Titillium" w:hAnsi="Titillium" w:cs="Calibri"/>
          <w:bCs/>
          <w:iCs/>
          <w:sz w:val="18"/>
          <w:szCs w:val="18"/>
          <w:lang w:bidi="it-IT"/>
        </w:rPr>
        <w:t xml:space="preserve">Pubblica Istruzione – Sport e Cultura </w:t>
      </w:r>
      <w:r w:rsidR="00564ABD">
        <w:rPr>
          <w:rFonts w:ascii="Titillium" w:hAnsi="Titillium" w:cs="Calibri"/>
          <w:bCs/>
          <w:iCs/>
          <w:sz w:val="18"/>
          <w:szCs w:val="18"/>
          <w:lang w:bidi="it-IT"/>
        </w:rPr>
        <w:t xml:space="preserve">del Comune di </w:t>
      </w:r>
      <w:r w:rsidR="001E48EE">
        <w:rPr>
          <w:rFonts w:ascii="Titillium" w:hAnsi="Titillium" w:cs="Calibri"/>
          <w:bCs/>
          <w:iCs/>
          <w:sz w:val="18"/>
          <w:szCs w:val="18"/>
          <w:lang w:bidi="it-IT"/>
        </w:rPr>
        <w:t>Castel San Giovanni</w:t>
      </w:r>
      <w:r w:rsidR="00564ABD">
        <w:rPr>
          <w:rFonts w:ascii="Titillium" w:hAnsi="Titillium" w:cs="Calibri"/>
          <w:bCs/>
          <w:iCs/>
          <w:sz w:val="18"/>
          <w:szCs w:val="18"/>
          <w:lang w:bidi="it-IT"/>
        </w:rPr>
        <w:t>.</w:t>
      </w:r>
    </w:p>
    <w:p w14:paraId="7D65F126" w14:textId="415DC4CE" w:rsidR="00114B8D" w:rsidRPr="00077C38" w:rsidRDefault="00114B8D" w:rsidP="00114B8D">
      <w:pPr>
        <w:spacing w:before="60" w:after="60"/>
        <w:rPr>
          <w:rFonts w:ascii="Titillium" w:hAnsi="Titillium" w:cs="Calibri"/>
          <w:bCs/>
          <w:iCs/>
          <w:sz w:val="18"/>
          <w:szCs w:val="18"/>
          <w:lang w:bidi="it-IT"/>
        </w:rPr>
      </w:pPr>
      <w:r w:rsidRPr="00114B8D">
        <w:rPr>
          <w:rFonts w:ascii="Titillium" w:hAnsi="Titillium" w:cs="Calibri"/>
          <w:b/>
          <w:bCs/>
          <w:iCs/>
          <w:sz w:val="18"/>
          <w:szCs w:val="18"/>
          <w:lang w:bidi="it-IT"/>
        </w:rPr>
        <w:t xml:space="preserve">Responsabile del procedimento per la fase di affidamento </w:t>
      </w:r>
      <w:r w:rsidRPr="00114B8D">
        <w:rPr>
          <w:rFonts w:ascii="Titillium" w:hAnsi="Titillium" w:cs="Calibri"/>
          <w:bCs/>
          <w:iCs/>
          <w:sz w:val="18"/>
          <w:szCs w:val="18"/>
          <w:lang w:bidi="it-IT"/>
        </w:rPr>
        <w:t xml:space="preserve">è la dott.ssa </w:t>
      </w:r>
      <w:r w:rsidR="00077C38">
        <w:rPr>
          <w:rFonts w:ascii="Titillium" w:hAnsi="Titillium" w:cs="Calibri"/>
          <w:bCs/>
          <w:iCs/>
          <w:sz w:val="18"/>
          <w:szCs w:val="18"/>
          <w:lang w:bidi="it-IT"/>
        </w:rPr>
        <w:t>Monica Penserini</w:t>
      </w:r>
      <w:r w:rsidRPr="00114B8D">
        <w:rPr>
          <w:rFonts w:ascii="Titillium" w:hAnsi="Titillium" w:cs="Calibri"/>
          <w:bCs/>
          <w:iCs/>
          <w:sz w:val="18"/>
          <w:szCs w:val="18"/>
          <w:lang w:bidi="it-IT"/>
        </w:rPr>
        <w:t xml:space="preserve">, </w:t>
      </w:r>
      <w:r w:rsidR="00077C38">
        <w:rPr>
          <w:rFonts w:ascii="Titillium" w:hAnsi="Titillium" w:cs="Calibri"/>
          <w:bCs/>
          <w:iCs/>
          <w:sz w:val="18"/>
          <w:szCs w:val="18"/>
          <w:lang w:bidi="it-IT"/>
        </w:rPr>
        <w:t xml:space="preserve">Dirigente </w:t>
      </w:r>
      <w:r w:rsidR="00077C38" w:rsidRPr="00F0267E">
        <w:rPr>
          <w:rFonts w:ascii="Titillium" w:hAnsi="Titillium" w:cs="Calibri"/>
          <w:bCs/>
          <w:iCs/>
          <w:sz w:val="18"/>
          <w:szCs w:val="18"/>
          <w:lang w:bidi="it-IT"/>
        </w:rPr>
        <w:t>del</w:t>
      </w:r>
      <w:r w:rsidR="00077C38" w:rsidRPr="00077C38">
        <w:rPr>
          <w:rFonts w:ascii="Calibri" w:hAnsi="Calibri" w:cs="Calibri"/>
          <w:sz w:val="18"/>
          <w:szCs w:val="18"/>
        </w:rPr>
        <w:t xml:space="preserve"> Servizio “Istruzione, Pari opportunità, Stazione Unica Appaltante</w:t>
      </w:r>
      <w:r w:rsidR="00B32E2A">
        <w:rPr>
          <w:rFonts w:ascii="Calibri" w:hAnsi="Calibri" w:cs="Calibri"/>
          <w:sz w:val="18"/>
          <w:szCs w:val="18"/>
        </w:rPr>
        <w:t xml:space="preserve"> e</w:t>
      </w:r>
      <w:r w:rsidR="00077C38" w:rsidRPr="00077C38">
        <w:rPr>
          <w:rFonts w:ascii="Calibri" w:hAnsi="Calibri" w:cs="Calibri"/>
          <w:sz w:val="18"/>
          <w:szCs w:val="18"/>
        </w:rPr>
        <w:t xml:space="preserve"> Acquisti”</w:t>
      </w:r>
      <w:r w:rsidRPr="00077C38">
        <w:rPr>
          <w:rFonts w:ascii="Titillium" w:hAnsi="Titillium" w:cs="Calibri"/>
          <w:bCs/>
          <w:iCs/>
          <w:sz w:val="18"/>
          <w:szCs w:val="18"/>
          <w:lang w:bidi="it-IT"/>
        </w:rPr>
        <w:t xml:space="preserve"> della Provincia di Piacenza.</w:t>
      </w:r>
    </w:p>
    <w:p w14:paraId="1BEAB7D2" w14:textId="77777777" w:rsidR="00114B8D" w:rsidRDefault="00114B8D" w:rsidP="00114B8D">
      <w:pPr>
        <w:spacing w:before="60" w:after="60"/>
        <w:rPr>
          <w:rFonts w:ascii="Titillium" w:hAnsi="Titillium" w:cs="Calibri"/>
          <w:b/>
          <w:bCs/>
          <w:iCs/>
          <w:sz w:val="18"/>
          <w:szCs w:val="18"/>
          <w:lang w:bidi="it-IT"/>
        </w:rPr>
      </w:pPr>
    </w:p>
    <w:p w14:paraId="4AE13CFC" w14:textId="26C2D825" w:rsidR="00114B8D" w:rsidRPr="00F0267E" w:rsidRDefault="00114B8D" w:rsidP="00114B8D">
      <w:pPr>
        <w:spacing w:before="60" w:after="60"/>
        <w:rPr>
          <w:rFonts w:ascii="Titillium" w:hAnsi="Titillium" w:cs="Calibri"/>
          <w:bCs/>
          <w:iCs/>
          <w:sz w:val="18"/>
          <w:szCs w:val="18"/>
          <w:lang w:bidi="it-IT"/>
        </w:rPr>
      </w:pPr>
      <w:r w:rsidRPr="00114B8D">
        <w:rPr>
          <w:rFonts w:ascii="Titillium" w:hAnsi="Titillium" w:cs="Calibri"/>
          <w:b/>
          <w:bCs/>
          <w:iCs/>
          <w:sz w:val="18"/>
          <w:szCs w:val="18"/>
          <w:lang w:bidi="it-IT"/>
        </w:rPr>
        <w:t xml:space="preserve">Il </w:t>
      </w:r>
      <w:r w:rsidRPr="00F0267E">
        <w:rPr>
          <w:rFonts w:ascii="Titillium" w:hAnsi="Titillium" w:cs="Calibri"/>
          <w:b/>
          <w:bCs/>
          <w:iCs/>
          <w:sz w:val="18"/>
          <w:szCs w:val="18"/>
          <w:lang w:bidi="it-IT"/>
        </w:rPr>
        <w:t>bando di gara viene pubblicato</w:t>
      </w:r>
      <w:r w:rsidRPr="00F0267E">
        <w:rPr>
          <w:rFonts w:ascii="Titillium" w:hAnsi="Titillium" w:cs="Calibri"/>
          <w:bCs/>
          <w:iCs/>
          <w:sz w:val="18"/>
          <w:szCs w:val="18"/>
          <w:lang w:bidi="it-IT"/>
        </w:rPr>
        <w:t>, ai sensi degli artt. 83 e 84 del D.lgs. 36/2023:</w:t>
      </w:r>
    </w:p>
    <w:p w14:paraId="57445465" w14:textId="3A9D6EB1" w:rsidR="00114B8D" w:rsidRDefault="00114B8D" w:rsidP="005D67CA">
      <w:pPr>
        <w:numPr>
          <w:ilvl w:val="0"/>
          <w:numId w:val="29"/>
        </w:numPr>
        <w:spacing w:before="60" w:after="60"/>
        <w:rPr>
          <w:rFonts w:ascii="Titillium" w:hAnsi="Titillium" w:cs="Calibri"/>
          <w:bCs/>
          <w:iCs/>
          <w:sz w:val="18"/>
          <w:szCs w:val="18"/>
          <w:lang w:bidi="it-IT"/>
        </w:rPr>
      </w:pPr>
      <w:r w:rsidRPr="00114B8D">
        <w:rPr>
          <w:rFonts w:ascii="Titillium" w:hAnsi="Titillium" w:cs="Calibri"/>
          <w:bCs/>
          <w:iCs/>
          <w:sz w:val="18"/>
          <w:szCs w:val="18"/>
          <w:lang w:bidi="it-IT"/>
        </w:rPr>
        <w:t>sulla Banca dati nazionale dei contratti pubblici tramite la Piattaforma di approvvigionamento digitale “SATER – Emilia Romagna” ai sensi dell’art. 85 del D.Lgs. 36/2023 e delle Delibere ANAC n. 263 del 20/06/2023 e n. 582 del 13/12/2023;</w:t>
      </w:r>
    </w:p>
    <w:p w14:paraId="52F57566" w14:textId="45209462" w:rsidR="0085452E" w:rsidRPr="000C167A" w:rsidRDefault="0085452E" w:rsidP="005D67CA">
      <w:pPr>
        <w:numPr>
          <w:ilvl w:val="0"/>
          <w:numId w:val="29"/>
        </w:numPr>
        <w:spacing w:before="60"/>
        <w:ind w:left="709"/>
        <w:rPr>
          <w:rFonts w:ascii="Titillium" w:hAnsi="Titillium" w:cs="Calibri"/>
          <w:bCs/>
          <w:iCs/>
          <w:sz w:val="18"/>
          <w:szCs w:val="18"/>
          <w:lang w:bidi="it-IT"/>
        </w:rPr>
      </w:pPr>
      <w:r w:rsidRPr="000C167A">
        <w:rPr>
          <w:rFonts w:ascii="Titillium" w:hAnsi="Titillium" w:cs="Calibri"/>
          <w:bCs/>
          <w:iCs/>
          <w:sz w:val="18"/>
          <w:szCs w:val="18"/>
          <w:lang w:bidi="it-IT"/>
        </w:rPr>
        <w:t xml:space="preserve">sul profilo committente della S.U.A. Provincia di Piacenza, nella sezione “Amministrazione trasparente – Bandi di gara e contratti”, </w:t>
      </w:r>
      <w:r w:rsidR="0032547B" w:rsidRPr="0032547B">
        <w:rPr>
          <w:rFonts w:ascii="Titillium" w:hAnsi="Titillium" w:cs="Calibri"/>
          <w:bCs/>
          <w:iCs/>
          <w:sz w:val="18"/>
          <w:szCs w:val="18"/>
          <w:lang w:bidi="it-IT"/>
        </w:rPr>
        <w:t>sottosezione “Atti, documenti e collegamenti riferiti ad ogni singola procedura - Stazione Unica Appaltante”</w:t>
      </w:r>
      <w:r w:rsidRPr="000C167A">
        <w:rPr>
          <w:rFonts w:ascii="Titillium" w:hAnsi="Titillium" w:cs="Calibri"/>
          <w:bCs/>
          <w:iCs/>
          <w:sz w:val="18"/>
          <w:szCs w:val="18"/>
          <w:lang w:bidi="it-IT"/>
        </w:rPr>
        <w:t xml:space="preserve"> tramite pubblicazione del link alla BDNCP;</w:t>
      </w:r>
    </w:p>
    <w:p w14:paraId="2DA59D00" w14:textId="3C87F26F" w:rsidR="0085452E" w:rsidRPr="000C167A" w:rsidRDefault="0085452E" w:rsidP="005D67CA">
      <w:pPr>
        <w:numPr>
          <w:ilvl w:val="0"/>
          <w:numId w:val="29"/>
        </w:numPr>
        <w:spacing w:before="60"/>
        <w:ind w:left="709"/>
        <w:rPr>
          <w:rFonts w:ascii="Titillium" w:hAnsi="Titillium" w:cs="Calibri"/>
          <w:bCs/>
          <w:iCs/>
          <w:sz w:val="18"/>
          <w:szCs w:val="18"/>
          <w:lang w:bidi="it-IT"/>
        </w:rPr>
      </w:pPr>
      <w:r w:rsidRPr="000C167A">
        <w:rPr>
          <w:rFonts w:ascii="Titillium" w:hAnsi="Titillium" w:cs="Calibri"/>
          <w:bCs/>
          <w:iCs/>
          <w:sz w:val="18"/>
          <w:szCs w:val="18"/>
          <w:lang w:bidi="it-IT"/>
        </w:rPr>
        <w:t xml:space="preserve">sul profilo committente </w:t>
      </w:r>
      <w:r>
        <w:rPr>
          <w:rFonts w:ascii="Titillium" w:hAnsi="Titillium" w:cs="Calibri"/>
          <w:bCs/>
          <w:iCs/>
          <w:sz w:val="18"/>
          <w:szCs w:val="18"/>
          <w:lang w:bidi="it-IT"/>
        </w:rPr>
        <w:t xml:space="preserve">del Comune di </w:t>
      </w:r>
      <w:r w:rsidR="00853BEA">
        <w:rPr>
          <w:rFonts w:ascii="Titillium" w:hAnsi="Titillium" w:cs="Calibri"/>
          <w:bCs/>
          <w:iCs/>
          <w:sz w:val="18"/>
          <w:szCs w:val="18"/>
          <w:lang w:bidi="it-IT"/>
        </w:rPr>
        <w:t>Castel San Giovanni</w:t>
      </w:r>
      <w:r>
        <w:rPr>
          <w:rFonts w:ascii="Titillium" w:hAnsi="Titillium" w:cs="Calibri"/>
          <w:bCs/>
          <w:iCs/>
          <w:sz w:val="18"/>
          <w:szCs w:val="18"/>
          <w:lang w:bidi="it-IT"/>
        </w:rPr>
        <w:t xml:space="preserve"> (PC)</w:t>
      </w:r>
      <w:r w:rsidRPr="000C167A">
        <w:rPr>
          <w:rFonts w:ascii="Titillium" w:hAnsi="Titillium" w:cs="Calibri"/>
          <w:bCs/>
          <w:iCs/>
          <w:sz w:val="18"/>
          <w:szCs w:val="18"/>
          <w:lang w:bidi="it-IT"/>
        </w:rPr>
        <w:t>, nella sezione “Amministrazione Trasparente” tramite pubblicazione del link alla BDNCP.</w:t>
      </w:r>
    </w:p>
    <w:p w14:paraId="639E5ADB" w14:textId="35D2D82C" w:rsidR="004C53A8" w:rsidRPr="000D68B4" w:rsidRDefault="000D68B4" w:rsidP="008300A5">
      <w:pPr>
        <w:pStyle w:val="Titolo2"/>
        <w:numPr>
          <w:ilvl w:val="0"/>
          <w:numId w:val="3"/>
        </w:numPr>
        <w:spacing w:after="200"/>
        <w:ind w:left="357" w:hanging="357"/>
        <w:rPr>
          <w:rFonts w:ascii="Titillium" w:hAnsi="Titillium"/>
          <w:caps w:val="0"/>
          <w:sz w:val="18"/>
          <w:szCs w:val="18"/>
        </w:rPr>
      </w:pPr>
      <w:bookmarkStart w:id="20" w:name="_Toc89270269"/>
      <w:r w:rsidRPr="000D68B4">
        <w:rPr>
          <w:rFonts w:ascii="Titillium" w:hAnsi="Titillium"/>
          <w:caps w:val="0"/>
          <w:sz w:val="18"/>
          <w:szCs w:val="18"/>
        </w:rPr>
        <w:t>PIATTAFORMA TELEMATICA</w:t>
      </w:r>
      <w:bookmarkEnd w:id="20"/>
      <w:r w:rsidRPr="000D68B4">
        <w:rPr>
          <w:rFonts w:ascii="Titillium" w:hAnsi="Titillium"/>
          <w:caps w:val="0"/>
          <w:sz w:val="18"/>
          <w:szCs w:val="18"/>
        </w:rPr>
        <w:t xml:space="preserve"> </w:t>
      </w:r>
    </w:p>
    <w:p w14:paraId="4D105DB2" w14:textId="4F718CFA" w:rsidR="004C53A8" w:rsidRDefault="004C667D" w:rsidP="008300A5">
      <w:pPr>
        <w:pStyle w:val="Titolo3"/>
        <w:numPr>
          <w:ilvl w:val="1"/>
          <w:numId w:val="3"/>
        </w:numPr>
        <w:ind w:left="426" w:hanging="426"/>
        <w:rPr>
          <w:rFonts w:ascii="Titillium" w:hAnsi="Titillium"/>
          <w:iCs/>
          <w:caps w:val="0"/>
          <w:sz w:val="18"/>
          <w:szCs w:val="18"/>
        </w:rPr>
      </w:pPr>
      <w:bookmarkStart w:id="21" w:name="_Toc89270270"/>
      <w:r>
        <w:rPr>
          <w:rFonts w:ascii="Titillium" w:hAnsi="Titillium"/>
          <w:iCs/>
          <w:caps w:val="0"/>
          <w:sz w:val="18"/>
          <w:szCs w:val="18"/>
        </w:rPr>
        <w:t>LA PIATTAFORMA TELEMATICA DI NEGOZIAZIONE</w:t>
      </w:r>
      <w:bookmarkEnd w:id="21"/>
      <w:r>
        <w:rPr>
          <w:rFonts w:ascii="Titillium" w:hAnsi="Titillium"/>
          <w:iCs/>
          <w:caps w:val="0"/>
          <w:sz w:val="18"/>
          <w:szCs w:val="18"/>
        </w:rPr>
        <w:t xml:space="preserve"> </w:t>
      </w:r>
    </w:p>
    <w:p w14:paraId="7AD88111" w14:textId="77777777" w:rsidR="0029379A" w:rsidRPr="006E504A" w:rsidRDefault="0029379A" w:rsidP="2AD31751">
      <w:pPr>
        <w:pStyle w:val="Testocommento"/>
        <w:spacing w:before="60" w:after="60"/>
        <w:rPr>
          <w:rStyle w:val="Collegamentoipertestuale"/>
          <w:rFonts w:ascii="Titillium" w:hAnsi="Titillium"/>
          <w:sz w:val="18"/>
          <w:szCs w:val="18"/>
          <w:lang w:val="it-IT" w:eastAsia="it-IT" w:bidi="it-IT"/>
        </w:rPr>
      </w:pPr>
      <w:r w:rsidRPr="006E504A">
        <w:rPr>
          <w:rFonts w:ascii="Titillium" w:eastAsia="Tahoma" w:hAnsi="Titillium" w:cs="Calibri"/>
          <w:sz w:val="18"/>
          <w:szCs w:val="18"/>
          <w:lang w:val="it-IT" w:eastAsia="it-IT" w:bidi="it-IT"/>
        </w:rPr>
        <w:t xml:space="preserve">La presente procedura è interamente svolta tramite la piattaforma </w:t>
      </w:r>
      <w:r w:rsidRPr="006E504A">
        <w:rPr>
          <w:rFonts w:ascii="Titillium" w:eastAsia="Tahoma" w:hAnsi="Titillium" w:cs="Calibri"/>
          <w:b/>
          <w:bCs/>
          <w:sz w:val="18"/>
          <w:szCs w:val="18"/>
          <w:lang w:val="it-IT" w:eastAsia="it-IT" w:bidi="it-IT"/>
        </w:rPr>
        <w:t>SATER (Sistema Acquisti Telematici dell’Emilia-Romagna;</w:t>
      </w:r>
      <w:r w:rsidRPr="006E504A">
        <w:rPr>
          <w:rFonts w:ascii="Titillium" w:eastAsia="Tahoma" w:hAnsi="Titillium" w:cs="Calibri"/>
          <w:sz w:val="18"/>
          <w:szCs w:val="18"/>
          <w:lang w:val="it-IT" w:eastAsia="it-IT" w:bidi="it-IT"/>
        </w:rPr>
        <w:t xml:space="preserve"> la PAD è accessibile all’indirizzo:  </w:t>
      </w:r>
      <w:hyperlink r:id="rId15">
        <w:r w:rsidRPr="006E504A">
          <w:rPr>
            <w:rStyle w:val="Collegamentoipertestuale"/>
            <w:rFonts w:ascii="Titillium" w:hAnsi="Titillium"/>
            <w:sz w:val="18"/>
            <w:szCs w:val="18"/>
            <w:lang w:val="it-IT" w:eastAsia="it-IT" w:bidi="it-IT"/>
          </w:rPr>
          <w:t>http://intercenter.regione.emiliaromagna.it</w:t>
        </w:r>
      </w:hyperlink>
    </w:p>
    <w:p w14:paraId="5EDC5BBD" w14:textId="77777777" w:rsidR="0029379A" w:rsidRPr="006E504A" w:rsidRDefault="0029379A" w:rsidP="2AD31751">
      <w:pPr>
        <w:pStyle w:val="Testocommento"/>
        <w:spacing w:before="60" w:after="60"/>
        <w:rPr>
          <w:rFonts w:ascii="Titillium" w:hAnsi="Titillium" w:cs="Calibri"/>
          <w:b/>
          <w:bCs/>
          <w:sz w:val="18"/>
          <w:szCs w:val="18"/>
          <w:lang w:val="it-IT"/>
        </w:rPr>
      </w:pPr>
      <w:r w:rsidRPr="006E504A">
        <w:rPr>
          <w:rFonts w:ascii="Titillium" w:hAnsi="Titillium" w:cs="Calibri"/>
          <w:b/>
          <w:bCs/>
          <w:sz w:val="18"/>
          <w:szCs w:val="18"/>
          <w:lang w:val="it-IT"/>
        </w:rPr>
        <w:t>L'accesso, l'utilizzo del SATER e la partecipazione alla procedura comportano l'accettazione incondizionata di tutti i termini, le condizioni di utilizzo e le avvertenze contenute nel presente bando – disciplinare (in seguito anche solo Disciplinare), nei relativi allegati e nelle guide presenti sul Sito, nonché di quanto portato a conoscenza degli utenti tramite la pubblicazione nel sito o le eventuali comunicazioni.</w:t>
      </w:r>
    </w:p>
    <w:p w14:paraId="46B85786" w14:textId="77777777" w:rsidR="0029379A" w:rsidRPr="006E504A" w:rsidRDefault="0029379A" w:rsidP="2AD31751">
      <w:pPr>
        <w:pStyle w:val="Testocommento"/>
        <w:spacing w:before="60" w:after="60"/>
        <w:rPr>
          <w:rFonts w:ascii="Titillium" w:hAnsi="Titillium" w:cs="Calibri"/>
          <w:sz w:val="18"/>
          <w:szCs w:val="18"/>
          <w:lang w:val="it-IT"/>
        </w:rPr>
      </w:pPr>
      <w:r w:rsidRPr="006E504A">
        <w:rPr>
          <w:rFonts w:ascii="Titillium" w:hAnsi="Titillium" w:cs="Calibri"/>
          <w:sz w:val="18"/>
          <w:szCs w:val="18"/>
          <w:lang w:val="it-IT"/>
        </w:rPr>
        <w:t>Tramite il Sito si accederà alla procedura nonché alla documentazione di gara.</w:t>
      </w:r>
    </w:p>
    <w:p w14:paraId="29027ECE" w14:textId="77777777" w:rsidR="0029379A" w:rsidRPr="006E504A" w:rsidRDefault="0029379A" w:rsidP="2AD31751">
      <w:pPr>
        <w:pStyle w:val="Testocommento"/>
        <w:spacing w:before="60" w:after="60"/>
        <w:rPr>
          <w:rFonts w:ascii="Titillium" w:hAnsi="Titillium" w:cs="Calibri"/>
          <w:b/>
          <w:bCs/>
          <w:color w:val="70AD47" w:themeColor="accent6"/>
          <w:sz w:val="18"/>
          <w:szCs w:val="18"/>
          <w:lang w:val="it-IT"/>
        </w:rPr>
      </w:pPr>
      <w:r w:rsidRPr="006E504A">
        <w:rPr>
          <w:rFonts w:ascii="Titillium" w:hAnsi="Titillium" w:cs="Calibri"/>
          <w:b/>
          <w:bCs/>
          <w:color w:val="70AD47" w:themeColor="accent6"/>
          <w:sz w:val="18"/>
          <w:szCs w:val="18"/>
          <w:lang w:val="it-IT"/>
        </w:rPr>
        <w:t>Per domande relative all’utilizzo di SATER si invitano gli operatori economici a far riferimento esclusivamente al numero verde 800 810 799.</w:t>
      </w:r>
    </w:p>
    <w:p w14:paraId="5FC7777B" w14:textId="77777777" w:rsidR="0029379A" w:rsidRPr="006E504A" w:rsidRDefault="0029379A" w:rsidP="2AD31751">
      <w:pPr>
        <w:pStyle w:val="Testocommento"/>
        <w:rPr>
          <w:rFonts w:ascii="Titillium" w:hAnsi="Titillium" w:cs="Calibri"/>
          <w:sz w:val="18"/>
          <w:szCs w:val="18"/>
          <w:lang w:val="it-IT" w:bidi="it-IT"/>
        </w:rPr>
      </w:pPr>
      <w:r w:rsidRPr="006E504A">
        <w:rPr>
          <w:rFonts w:ascii="Titillium" w:hAnsi="Titillium" w:cs="Calibri"/>
          <w:sz w:val="18"/>
          <w:szCs w:val="18"/>
          <w:lang w:val="it-IT" w:bidi="it-IT"/>
        </w:rPr>
        <w:t>L’utilizzo della PAD comporta l’accettazione tacita ed incondizionata di tutti i termini, le condizioni di utilizzo e le avvertenze contenute nei documenti di gara, in particolare, del Regolamento UE n. 910/2014 (di seguito Regolamento eIDAS - electronic IDentification Authentication and Signature), del decreto legislativo n. 82/2005 recante Codice dell’amministrazione digitale (CAD) e delle Linee guida dell’AGID, nonché di quanto portato a conoscenza degli utenti tramite le comunicazioni sulla PAD.</w:t>
      </w:r>
    </w:p>
    <w:p w14:paraId="023F90F0" w14:textId="77777777" w:rsidR="0029379A" w:rsidRPr="006E504A" w:rsidRDefault="0029379A" w:rsidP="2AD31751">
      <w:pPr>
        <w:pStyle w:val="Testocommento"/>
        <w:rPr>
          <w:rFonts w:ascii="Titillium" w:hAnsi="Titillium" w:cs="Calibri"/>
          <w:sz w:val="18"/>
          <w:szCs w:val="18"/>
          <w:lang w:val="it-IT" w:bidi="it-IT"/>
        </w:rPr>
      </w:pPr>
      <w:r w:rsidRPr="006E504A">
        <w:rPr>
          <w:rFonts w:ascii="Titillium" w:hAnsi="Titillium" w:cs="Calibri"/>
          <w:sz w:val="18"/>
          <w:szCs w:val="18"/>
          <w:lang w:val="it-IT" w:bidi="it-IT"/>
        </w:rPr>
        <w:t xml:space="preserve">L’utilizzo della PAD avviene nel rispetto dei principi di autoresponsabilità e di diligenza professionale, secondo quanto previsto dall’articolo 1176, comma 2, del Codice civile. </w:t>
      </w:r>
    </w:p>
    <w:p w14:paraId="5BA80633" w14:textId="77777777" w:rsidR="0029379A" w:rsidRPr="006E504A" w:rsidRDefault="0029379A" w:rsidP="2AD31751">
      <w:pPr>
        <w:pStyle w:val="Testocommento"/>
        <w:spacing w:before="60" w:after="60"/>
        <w:rPr>
          <w:rFonts w:ascii="Titillium" w:hAnsi="Titillium" w:cs="Calibri"/>
          <w:sz w:val="18"/>
          <w:szCs w:val="18"/>
          <w:lang w:val="it-IT" w:bidi="it-IT"/>
        </w:rPr>
      </w:pPr>
      <w:r w:rsidRPr="006E504A">
        <w:rPr>
          <w:rFonts w:ascii="Titillium" w:hAnsi="Titillium" w:cs="Calibri"/>
          <w:sz w:val="18"/>
          <w:szCs w:val="18"/>
          <w:lang w:val="it-IT" w:bidi="it-IT"/>
        </w:rPr>
        <w:t>La stazione appaltante non assume alcuna responsabilità per perdita di documenti e dati, danneggiamento di file e documenti, ritardi nell’inserimento di dati, documenti e/o nella presentazione della domanda, malfunzionamento, danni, pregiudizi derivanti all’operatore economico, da:</w:t>
      </w:r>
    </w:p>
    <w:p w14:paraId="5802C984" w14:textId="77777777" w:rsidR="0029379A" w:rsidRPr="006E504A" w:rsidRDefault="0029379A" w:rsidP="2AD31751">
      <w:pPr>
        <w:pStyle w:val="Testocommento"/>
        <w:numPr>
          <w:ilvl w:val="1"/>
          <w:numId w:val="11"/>
        </w:numPr>
        <w:spacing w:before="60" w:after="60" w:line="240" w:lineRule="auto"/>
        <w:ind w:left="567"/>
        <w:rPr>
          <w:rFonts w:ascii="Titillium" w:hAnsi="Titillium" w:cs="Calibri"/>
          <w:sz w:val="18"/>
          <w:szCs w:val="18"/>
          <w:lang w:val="it-IT" w:bidi="it-IT"/>
        </w:rPr>
      </w:pPr>
      <w:r w:rsidRPr="006E504A">
        <w:rPr>
          <w:rFonts w:ascii="Titillium" w:hAnsi="Titillium" w:cs="Calibri"/>
          <w:sz w:val="18"/>
          <w:szCs w:val="18"/>
          <w:lang w:val="it-IT" w:bidi="it-IT"/>
        </w:rPr>
        <w:t>difetti di funzionamento delle apparecchiature e dei sistemi di collegamento e programmi impiegati dal singolo operatore economico per il collegamento alla PAD;</w:t>
      </w:r>
    </w:p>
    <w:p w14:paraId="7DF9A883" w14:textId="77777777" w:rsidR="0029379A" w:rsidRPr="006E504A" w:rsidRDefault="0029379A" w:rsidP="2AD31751">
      <w:pPr>
        <w:pStyle w:val="Testocommento"/>
        <w:numPr>
          <w:ilvl w:val="1"/>
          <w:numId w:val="11"/>
        </w:numPr>
        <w:spacing w:before="60" w:after="60" w:line="240" w:lineRule="auto"/>
        <w:ind w:left="567"/>
        <w:rPr>
          <w:rFonts w:ascii="Titillium" w:hAnsi="Titillium" w:cs="Calibri"/>
          <w:sz w:val="18"/>
          <w:szCs w:val="18"/>
          <w:lang w:val="it-IT" w:bidi="it-IT"/>
        </w:rPr>
      </w:pPr>
      <w:r w:rsidRPr="006E504A">
        <w:rPr>
          <w:rFonts w:ascii="Titillium" w:hAnsi="Titillium" w:cs="Calibri"/>
          <w:sz w:val="18"/>
          <w:szCs w:val="18"/>
          <w:lang w:val="it-IT" w:bidi="it-IT"/>
        </w:rPr>
        <w:t>utilizzo della PAD da parte dell’operatore economico in maniera non conforme al Disciplinare</w:t>
      </w:r>
      <w:r w:rsidRPr="006E504A">
        <w:rPr>
          <w:rFonts w:ascii="Titillium" w:hAnsi="Titillium" w:cs="Calibri"/>
          <w:i/>
          <w:iCs/>
          <w:sz w:val="18"/>
          <w:szCs w:val="18"/>
          <w:lang w:val="it-IT" w:bidi="it-IT"/>
        </w:rPr>
        <w:t>.</w:t>
      </w:r>
    </w:p>
    <w:p w14:paraId="6DC2A871" w14:textId="77777777" w:rsidR="0029379A" w:rsidRPr="006E504A" w:rsidRDefault="0029379A" w:rsidP="2AD31751">
      <w:pPr>
        <w:pStyle w:val="Testocommento"/>
        <w:spacing w:before="60" w:after="60"/>
        <w:rPr>
          <w:rFonts w:ascii="Titillium" w:hAnsi="Titillium" w:cs="Calibri"/>
          <w:sz w:val="18"/>
          <w:szCs w:val="18"/>
          <w:lang w:val="it-IT" w:bidi="it-IT"/>
        </w:rPr>
      </w:pPr>
      <w:r w:rsidRPr="006E504A">
        <w:rPr>
          <w:rFonts w:ascii="Titillium" w:hAnsi="Titillium" w:cs="Calibri"/>
          <w:sz w:val="18"/>
          <w:szCs w:val="18"/>
          <w:lang w:val="it-IT" w:bidi="it-IT"/>
        </w:rPr>
        <w:lastRenderedPageBreak/>
        <w:t xml:space="preserve">In caso di mancato funzionamento della PAD o di malfunzionamento della stessa, non dovuti alle predette circostanze, che impediscono la corretta presentazione delle offerte, al fine di assicurare la massima partecipazione, la stazione appaltante valuta la necessità di disporre la sospensione del termine per la presentazione delle offerte per il periodo di tempo strettamente necessario a ripristinare il normale funzionamento e la proroga dello stesso per una durata proporzionale alla durata del mancato o non corretto funzionamento, tenuto conto della gravità dello stesso e del momento in cui si verifica. La proroga o la riapertura del termine di scadenza di presentazione delle offerte limitata ad un periodo massimo di 48 ore dalla data di scadenza indicata nel bando è resa nota sulla PAD e sul sito internet della stazione appaltante, unitamente all’indicazione della durata e dei motivi del malfunzionamento. In tali casi, non è richiesta la pubblicazione di una rettifica al bando di gara ai sensi dell’articolo 27 del codice, né la riedizione della procedura. </w:t>
      </w:r>
    </w:p>
    <w:p w14:paraId="5FC4E4D2" w14:textId="77777777" w:rsidR="0029379A" w:rsidRPr="006E504A" w:rsidRDefault="0029379A" w:rsidP="2AD31751">
      <w:pPr>
        <w:pStyle w:val="Testocommento"/>
        <w:spacing w:before="60" w:after="60"/>
        <w:rPr>
          <w:rFonts w:ascii="Titillium" w:hAnsi="Titillium" w:cs="Calibri"/>
          <w:sz w:val="18"/>
          <w:szCs w:val="18"/>
          <w:lang w:val="it-IT" w:bidi="it-IT"/>
        </w:rPr>
      </w:pPr>
      <w:r w:rsidRPr="006E504A">
        <w:rPr>
          <w:rFonts w:ascii="Titillium" w:hAnsi="Titillium" w:cs="Calibri"/>
          <w:sz w:val="18"/>
          <w:szCs w:val="18"/>
          <w:lang w:val="it-IT" w:bidi="it-IT"/>
        </w:rPr>
        <w:t xml:space="preserve">Nel caso in cui la proroga dei termini per la presentazione delle offerte abbia una durata superiore, la stazione appaltante rettifica il bando di gara con indicazione della nuova scadenza. </w:t>
      </w:r>
    </w:p>
    <w:p w14:paraId="1F8B2A2D" w14:textId="77777777" w:rsidR="0029379A" w:rsidRPr="006E504A" w:rsidRDefault="0029379A" w:rsidP="2AD31751">
      <w:pPr>
        <w:pStyle w:val="Testocommento"/>
        <w:spacing w:before="60" w:after="60"/>
        <w:rPr>
          <w:rFonts w:ascii="Titillium" w:hAnsi="Titillium" w:cs="Calibri"/>
          <w:sz w:val="18"/>
          <w:szCs w:val="18"/>
          <w:lang w:val="it-IT" w:bidi="it-IT"/>
        </w:rPr>
      </w:pPr>
      <w:r w:rsidRPr="006E504A">
        <w:rPr>
          <w:rFonts w:ascii="Titillium" w:hAnsi="Titillium" w:cs="Calibri"/>
          <w:sz w:val="18"/>
          <w:szCs w:val="18"/>
          <w:lang w:val="it-IT" w:bidi="it-IT"/>
        </w:rPr>
        <w:t xml:space="preserve">Nei soli casi in cui la sospensione o la proroga dei termini non siano considerati idonei a garantire la </w:t>
      </w:r>
      <w:r w:rsidRPr="006E504A">
        <w:rPr>
          <w:rFonts w:ascii="Titillium" w:hAnsi="Titillium" w:cs="Calibri"/>
          <w:i/>
          <w:iCs/>
          <w:sz w:val="18"/>
          <w:szCs w:val="18"/>
          <w:lang w:val="it-IT" w:bidi="it-IT"/>
        </w:rPr>
        <w:t>par condicio</w:t>
      </w:r>
      <w:r w:rsidRPr="006E504A">
        <w:rPr>
          <w:rFonts w:ascii="Titillium" w:hAnsi="Titillium" w:cs="Calibri"/>
          <w:sz w:val="18"/>
          <w:szCs w:val="18"/>
          <w:lang w:val="it-IT" w:bidi="it-IT"/>
        </w:rPr>
        <w:t xml:space="preserve"> dei partecipanti e/o la segretezza delle offerte, la stazione appaltante procede alla riedizione della procedura.</w:t>
      </w:r>
    </w:p>
    <w:p w14:paraId="38DDCAAD" w14:textId="77777777" w:rsidR="0029379A" w:rsidRPr="006E504A" w:rsidRDefault="0029379A" w:rsidP="2AD31751">
      <w:pPr>
        <w:pStyle w:val="Testocommento"/>
        <w:spacing w:before="60" w:after="60"/>
        <w:rPr>
          <w:rFonts w:ascii="Titillium" w:hAnsi="Titillium" w:cs="Calibri"/>
          <w:sz w:val="18"/>
          <w:szCs w:val="18"/>
          <w:lang w:val="it-IT" w:bidi="it-IT"/>
        </w:rPr>
      </w:pPr>
      <w:r w:rsidRPr="006E504A">
        <w:rPr>
          <w:rFonts w:ascii="Titillium" w:hAnsi="Titillium" w:cs="Calibri"/>
          <w:sz w:val="18"/>
          <w:szCs w:val="18"/>
          <w:lang w:val="it-IT" w:bidi="it-IT"/>
        </w:rPr>
        <w:t>La stazione appaltante si riserva di agire in tal modo anche quando, esclusa la negligenza dell’operatore economico, non sia possibile accertare la causa del mancato funzionamento o del malfunzionamento.</w:t>
      </w:r>
    </w:p>
    <w:p w14:paraId="2FB52FE2" w14:textId="77777777" w:rsidR="0029379A" w:rsidRPr="006E504A" w:rsidRDefault="0029379A" w:rsidP="2AD31751">
      <w:pPr>
        <w:pStyle w:val="Testocommento"/>
        <w:spacing w:before="60" w:after="60"/>
        <w:rPr>
          <w:rFonts w:ascii="Titillium" w:hAnsi="Titillium" w:cs="Calibri"/>
          <w:sz w:val="18"/>
          <w:szCs w:val="18"/>
          <w:lang w:val="it-IT" w:bidi="it-IT"/>
        </w:rPr>
      </w:pPr>
      <w:r w:rsidRPr="006E504A">
        <w:rPr>
          <w:rFonts w:ascii="Titillium" w:hAnsi="Titillium" w:cs="Calibri"/>
          <w:sz w:val="18"/>
          <w:szCs w:val="18"/>
          <w:lang w:val="it-IT" w:bidi="it-IT"/>
        </w:rPr>
        <w:t xml:space="preserve">Le attività e le operazioni effettuate nell'ambito della PAD sono registrate e attribuite all’operatore economico e si intendono compiute nell’ora e nel giorno risultanti dalle registrazioni di sistema. </w:t>
      </w:r>
    </w:p>
    <w:p w14:paraId="54FAAD31" w14:textId="77777777" w:rsidR="0029379A" w:rsidRPr="006E504A" w:rsidRDefault="0029379A" w:rsidP="2AD31751">
      <w:pPr>
        <w:pStyle w:val="Testocommento"/>
        <w:spacing w:before="60" w:after="60"/>
        <w:rPr>
          <w:rFonts w:ascii="Titillium" w:hAnsi="Titillium" w:cs="Calibri"/>
          <w:sz w:val="18"/>
          <w:szCs w:val="18"/>
          <w:lang w:val="it-IT" w:bidi="it-IT"/>
        </w:rPr>
      </w:pPr>
      <w:r w:rsidRPr="006E504A">
        <w:rPr>
          <w:rFonts w:ascii="Titillium" w:hAnsi="Titillium" w:cs="Calibri"/>
          <w:sz w:val="18"/>
          <w:szCs w:val="18"/>
          <w:lang w:val="it-IT" w:bidi="it-IT"/>
        </w:rPr>
        <w:t xml:space="preserve">Il sistema operativo della PAD è sincronizzato sulla scala di tempo nazionale di cui al decreto del Ministro dell'industria, del commercio e dell'artigianato 30 novembre 1993, n. 591, tramite protocollo NTP o standard superiore. </w:t>
      </w:r>
    </w:p>
    <w:p w14:paraId="2FD32491" w14:textId="77777777" w:rsidR="0029379A" w:rsidRPr="006E504A" w:rsidRDefault="0029379A" w:rsidP="2AD31751">
      <w:pPr>
        <w:pStyle w:val="Testocommento"/>
        <w:spacing w:before="60" w:after="60"/>
        <w:rPr>
          <w:rFonts w:ascii="Titillium" w:hAnsi="Titillium" w:cs="Calibri"/>
          <w:sz w:val="18"/>
          <w:szCs w:val="18"/>
          <w:lang w:val="it-IT" w:bidi="it-IT"/>
        </w:rPr>
      </w:pPr>
      <w:r w:rsidRPr="006E504A">
        <w:rPr>
          <w:rFonts w:ascii="Titillium" w:hAnsi="Titillium" w:cs="Calibri"/>
          <w:sz w:val="18"/>
          <w:szCs w:val="18"/>
          <w:lang w:val="it-IT" w:bidi="it-IT"/>
        </w:rPr>
        <w:t>L’acquisto, l’installazione e la configurazione dell’</w:t>
      </w:r>
      <w:r w:rsidRPr="006E504A">
        <w:rPr>
          <w:rFonts w:ascii="Titillium" w:hAnsi="Titillium" w:cs="Calibri"/>
          <w:i/>
          <w:iCs/>
          <w:sz w:val="18"/>
          <w:szCs w:val="18"/>
          <w:lang w:val="it-IT" w:bidi="it-IT"/>
        </w:rPr>
        <w:t>hardware</w:t>
      </w:r>
      <w:r w:rsidRPr="006E504A">
        <w:rPr>
          <w:rFonts w:ascii="Titillium" w:hAnsi="Titillium" w:cs="Calibri"/>
          <w:sz w:val="18"/>
          <w:szCs w:val="18"/>
          <w:lang w:val="it-IT" w:bidi="it-IT"/>
        </w:rPr>
        <w:t xml:space="preserve">, del </w:t>
      </w:r>
      <w:r w:rsidRPr="006E504A">
        <w:rPr>
          <w:rFonts w:ascii="Titillium" w:hAnsi="Titillium" w:cs="Calibri"/>
          <w:i/>
          <w:iCs/>
          <w:sz w:val="18"/>
          <w:szCs w:val="18"/>
          <w:lang w:val="it-IT" w:bidi="it-IT"/>
        </w:rPr>
        <w:t>software</w:t>
      </w:r>
      <w:r w:rsidRPr="006E504A">
        <w:rPr>
          <w:rFonts w:ascii="Titillium" w:hAnsi="Titillium" w:cs="Calibri"/>
          <w:sz w:val="18"/>
          <w:szCs w:val="18"/>
          <w:lang w:val="it-IT" w:bidi="it-IT"/>
        </w:rPr>
        <w:t xml:space="preserve">, dei certificati digitali di firma, della casella di PEC o comunque di un indirizzo di servizio elettronico di recapito certificato qualificato, nonché dei collegamenti per l’accesso alla rete </w:t>
      </w:r>
      <w:r w:rsidRPr="006E504A">
        <w:rPr>
          <w:rFonts w:ascii="Titillium" w:hAnsi="Titillium" w:cs="Calibri"/>
          <w:i/>
          <w:iCs/>
          <w:sz w:val="18"/>
          <w:szCs w:val="18"/>
          <w:lang w:val="it-IT" w:bidi="it-IT"/>
        </w:rPr>
        <w:t>Internet</w:t>
      </w:r>
      <w:r w:rsidRPr="006E504A">
        <w:rPr>
          <w:rFonts w:ascii="Titillium" w:hAnsi="Titillium" w:cs="Calibri"/>
          <w:sz w:val="18"/>
          <w:szCs w:val="18"/>
          <w:lang w:val="it-IT" w:bidi="it-IT"/>
        </w:rPr>
        <w:t>, restano a esclusivo carico dell’operatore economico.</w:t>
      </w:r>
    </w:p>
    <w:p w14:paraId="2ACAF99F" w14:textId="68C53073" w:rsidR="004C53A8" w:rsidRDefault="004C667D" w:rsidP="008300A5">
      <w:pPr>
        <w:pStyle w:val="Titolo3"/>
        <w:numPr>
          <w:ilvl w:val="1"/>
          <w:numId w:val="3"/>
        </w:numPr>
        <w:ind w:left="426" w:hanging="426"/>
        <w:rPr>
          <w:rFonts w:ascii="Titillium" w:hAnsi="Titillium"/>
          <w:iCs/>
          <w:sz w:val="18"/>
          <w:szCs w:val="18"/>
        </w:rPr>
      </w:pPr>
      <w:bookmarkStart w:id="22" w:name="_Toc7655658811111"/>
      <w:bookmarkStart w:id="23" w:name="_Toc7655652711111"/>
      <w:bookmarkStart w:id="24" w:name="_Toc7655646611111"/>
      <w:bookmarkStart w:id="25" w:name="_Toc7655640511111"/>
      <w:bookmarkStart w:id="26" w:name="_Toc763991861111111111111111111111"/>
      <w:bookmarkStart w:id="27" w:name="_Toc7655658911111"/>
      <w:bookmarkStart w:id="28" w:name="_Toc7655652811111"/>
      <w:bookmarkStart w:id="29" w:name="_Toc7655646711111"/>
      <w:bookmarkStart w:id="30" w:name="_Toc7655640611111"/>
      <w:bookmarkStart w:id="31" w:name="_Toc763991871111111111111111111111"/>
      <w:bookmarkStart w:id="32" w:name="_Toc7655659011111"/>
      <w:bookmarkStart w:id="33" w:name="_Toc7655652911111"/>
      <w:bookmarkStart w:id="34" w:name="_Toc7655646811111"/>
      <w:bookmarkStart w:id="35" w:name="_Toc7655640711111"/>
      <w:bookmarkStart w:id="36" w:name="_Toc763991881111111111111111111111"/>
      <w:bookmarkStart w:id="37" w:name="_Toc7655659111111"/>
      <w:bookmarkStart w:id="38" w:name="_Toc7655653011111"/>
      <w:bookmarkStart w:id="39" w:name="_Toc7655646911111"/>
      <w:bookmarkStart w:id="40" w:name="_Toc7655640811111"/>
      <w:bookmarkStart w:id="41" w:name="_Toc763991891111111111111111111111"/>
      <w:bookmarkStart w:id="42" w:name="_Toc8927027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Pr>
          <w:rFonts w:ascii="Titillium" w:hAnsi="Titillium"/>
          <w:iCs/>
          <w:caps w:val="0"/>
          <w:sz w:val="18"/>
          <w:szCs w:val="18"/>
        </w:rPr>
        <w:t>DOTAZIONI TECNICHE</w:t>
      </w:r>
      <w:bookmarkEnd w:id="42"/>
    </w:p>
    <w:p w14:paraId="47D715F0" w14:textId="730ADE37" w:rsidR="004C53A8" w:rsidRDefault="00870286" w:rsidP="006D0BF8">
      <w:pPr>
        <w:tabs>
          <w:tab w:val="left" w:pos="567"/>
        </w:tabs>
        <w:spacing w:before="60" w:after="60"/>
      </w:pPr>
      <w:r>
        <w:rPr>
          <w:rFonts w:ascii="Titillium" w:hAnsi="Titillium" w:cs="Calibri"/>
          <w:bCs/>
          <w:color w:val="000000"/>
          <w:sz w:val="18"/>
          <w:szCs w:val="18"/>
          <w:highlight w:val="white"/>
        </w:rPr>
        <w:t>Ai fini della partecipazione alla presente procedura, ogni operatore economico deve dotarsi, a propria cura, spesa e responsabilità</w:t>
      </w:r>
      <w:r w:rsidR="000271A3">
        <w:rPr>
          <w:rFonts w:ascii="Titillium" w:hAnsi="Titillium" w:cs="Calibri"/>
          <w:bCs/>
          <w:color w:val="000000"/>
          <w:sz w:val="18"/>
          <w:szCs w:val="18"/>
          <w:highlight w:val="white"/>
        </w:rPr>
        <w:t>,</w:t>
      </w:r>
      <w:r>
        <w:rPr>
          <w:rFonts w:ascii="Titillium" w:hAnsi="Titillium" w:cs="Calibri"/>
          <w:bCs/>
          <w:color w:val="000000"/>
          <w:sz w:val="18"/>
          <w:szCs w:val="18"/>
          <w:highlight w:val="white"/>
        </w:rPr>
        <w:t xml:space="preserve"> della strumentazione tecnica ed informatica </w:t>
      </w:r>
      <w:r w:rsidR="0043729D">
        <w:rPr>
          <w:rFonts w:ascii="Titillium" w:hAnsi="Titillium" w:cs="Calibri"/>
          <w:bCs/>
          <w:color w:val="000000"/>
          <w:sz w:val="18"/>
          <w:szCs w:val="18"/>
          <w:highlight w:val="white"/>
        </w:rPr>
        <w:t xml:space="preserve">conforme a quella </w:t>
      </w:r>
      <w:r>
        <w:rPr>
          <w:rFonts w:ascii="Titillium" w:hAnsi="Titillium" w:cs="Calibri"/>
          <w:bCs/>
          <w:color w:val="000000"/>
          <w:sz w:val="18"/>
          <w:szCs w:val="18"/>
          <w:highlight w:val="white"/>
        </w:rPr>
        <w:t>indicata nel presente disciplinare e nel</w:t>
      </w:r>
      <w:r w:rsidR="006D0BF8">
        <w:rPr>
          <w:rFonts w:ascii="Titillium" w:hAnsi="Titillium" w:cs="Calibri"/>
          <w:bCs/>
          <w:color w:val="000000"/>
          <w:sz w:val="18"/>
          <w:szCs w:val="18"/>
          <w:highlight w:val="white"/>
        </w:rPr>
        <w:t xml:space="preserve">le guide per l’utilizzo del Sistema telematico regionale </w:t>
      </w:r>
      <w:r>
        <w:rPr>
          <w:rFonts w:ascii="Titillium" w:hAnsi="Titillium" w:cs="Calibri"/>
          <w:bCs/>
          <w:color w:val="000000"/>
          <w:sz w:val="18"/>
          <w:szCs w:val="18"/>
          <w:highlight w:val="white"/>
        </w:rPr>
        <w:t xml:space="preserve"> </w:t>
      </w:r>
      <w:r w:rsidR="006D0BF8">
        <w:rPr>
          <w:rFonts w:ascii="Titillium" w:hAnsi="Titillium" w:cs="Calibri"/>
          <w:bCs/>
          <w:iCs/>
          <w:sz w:val="18"/>
          <w:szCs w:val="18"/>
        </w:rPr>
        <w:t xml:space="preserve">accessibili al sito </w:t>
      </w:r>
      <w:hyperlink r:id="rId16" w:history="1">
        <w:r w:rsidR="004A227D" w:rsidRPr="006272DD">
          <w:rPr>
            <w:rStyle w:val="Collegamentoipertestuale"/>
            <w:rFonts w:ascii="Titillium" w:hAnsi="Titillium" w:cs="Calibri"/>
            <w:bCs/>
            <w:iCs/>
            <w:sz w:val="18"/>
            <w:szCs w:val="18"/>
          </w:rPr>
          <w:t>http://intercenter.regione.emilia-romagna.it/agenzia/utilizzo-del-sistema/guide</w:t>
        </w:r>
      </w:hyperlink>
      <w:r w:rsidR="00CD7B2E">
        <w:rPr>
          <w:rStyle w:val="Collegamentoipertestuale"/>
          <w:rFonts w:ascii="Titillium" w:hAnsi="Titillium" w:cs="Calibri"/>
          <w:bCs/>
          <w:iCs/>
          <w:sz w:val="18"/>
          <w:szCs w:val="18"/>
        </w:rPr>
        <w:t>/</w:t>
      </w:r>
      <w:r w:rsidR="006D0BF8">
        <w:rPr>
          <w:rFonts w:ascii="Titillium" w:hAnsi="Titillium" w:cs="Calibri"/>
          <w:bCs/>
          <w:iCs/>
          <w:sz w:val="18"/>
          <w:szCs w:val="18"/>
        </w:rPr>
        <w:t xml:space="preserve">, </w:t>
      </w:r>
      <w:r>
        <w:rPr>
          <w:rFonts w:ascii="Titillium" w:hAnsi="Titillium" w:cs="Calibri"/>
          <w:bCs/>
          <w:iCs/>
          <w:color w:val="000000"/>
          <w:sz w:val="18"/>
          <w:szCs w:val="18"/>
          <w:highlight w:val="white"/>
        </w:rPr>
        <w:t>che d</w:t>
      </w:r>
      <w:r w:rsidR="000C344B">
        <w:rPr>
          <w:rFonts w:ascii="Titillium" w:hAnsi="Titillium" w:cs="Calibri"/>
          <w:bCs/>
          <w:iCs/>
          <w:color w:val="000000"/>
          <w:sz w:val="18"/>
          <w:szCs w:val="18"/>
          <w:highlight w:val="white"/>
        </w:rPr>
        <w:t>i</w:t>
      </w:r>
      <w:r>
        <w:rPr>
          <w:rFonts w:ascii="Titillium" w:hAnsi="Titillium" w:cs="Calibri"/>
          <w:bCs/>
          <w:iCs/>
          <w:color w:val="000000"/>
          <w:sz w:val="18"/>
          <w:szCs w:val="18"/>
          <w:highlight w:val="white"/>
        </w:rPr>
        <w:t>sciplina il fu</w:t>
      </w:r>
      <w:r w:rsidR="000C344B">
        <w:rPr>
          <w:rFonts w:ascii="Titillium" w:hAnsi="Titillium" w:cs="Calibri"/>
          <w:bCs/>
          <w:iCs/>
          <w:color w:val="000000"/>
          <w:sz w:val="18"/>
          <w:szCs w:val="18"/>
          <w:highlight w:val="white"/>
        </w:rPr>
        <w:t>n</w:t>
      </w:r>
      <w:r>
        <w:rPr>
          <w:rFonts w:ascii="Titillium" w:hAnsi="Titillium" w:cs="Calibri"/>
          <w:bCs/>
          <w:iCs/>
          <w:color w:val="000000"/>
          <w:sz w:val="18"/>
          <w:szCs w:val="18"/>
          <w:highlight w:val="white"/>
        </w:rPr>
        <w:t>zionamento e l’utilizzo della Piattaforma</w:t>
      </w:r>
      <w:r w:rsidRPr="000C344B">
        <w:rPr>
          <w:rFonts w:ascii="Titillium" w:hAnsi="Titillium" w:cs="Calibri"/>
          <w:bCs/>
          <w:color w:val="000000"/>
          <w:sz w:val="18"/>
          <w:szCs w:val="18"/>
        </w:rPr>
        <w:t>.</w:t>
      </w:r>
    </w:p>
    <w:p w14:paraId="291B4B3A" w14:textId="77777777" w:rsidR="00611687" w:rsidRPr="00611687" w:rsidRDefault="00611687" w:rsidP="00611687">
      <w:pPr>
        <w:tabs>
          <w:tab w:val="left" w:pos="709"/>
        </w:tabs>
        <w:spacing w:before="60" w:after="60"/>
        <w:rPr>
          <w:rFonts w:ascii="Titillium" w:hAnsi="Titillium" w:cs="Calibri"/>
          <w:bCs/>
          <w:color w:val="000000"/>
          <w:sz w:val="18"/>
          <w:szCs w:val="18"/>
        </w:rPr>
      </w:pPr>
      <w:r w:rsidRPr="00611687">
        <w:rPr>
          <w:rFonts w:ascii="Titillium" w:hAnsi="Titillium" w:cs="Calibri"/>
          <w:bCs/>
          <w:color w:val="000000"/>
          <w:sz w:val="18"/>
          <w:szCs w:val="18"/>
        </w:rPr>
        <w:t>In ogni caso è indispensabile:</w:t>
      </w:r>
    </w:p>
    <w:p w14:paraId="1721C917" w14:textId="77777777" w:rsidR="00611687" w:rsidRPr="00611687" w:rsidRDefault="00611687" w:rsidP="00611687">
      <w:pPr>
        <w:widowControl w:val="0"/>
        <w:numPr>
          <w:ilvl w:val="1"/>
          <w:numId w:val="12"/>
        </w:numPr>
        <w:tabs>
          <w:tab w:val="left" w:pos="360"/>
        </w:tabs>
        <w:ind w:left="709" w:hanging="357"/>
        <w:rPr>
          <w:rFonts w:ascii="Titillium" w:hAnsi="Titillium" w:cs="Calibri"/>
          <w:bCs/>
          <w:color w:val="000000"/>
          <w:sz w:val="18"/>
          <w:szCs w:val="18"/>
        </w:rPr>
      </w:pPr>
      <w:r w:rsidRPr="00611687">
        <w:rPr>
          <w:rFonts w:ascii="Titillium" w:hAnsi="Titillium" w:cs="Calibri"/>
          <w:bCs/>
          <w:color w:val="000000"/>
          <w:sz w:val="18"/>
          <w:szCs w:val="18"/>
        </w:rPr>
        <w:t xml:space="preserve">disporre almeno di un personal computer conforme agli standard aggiornati di mercato, con connessione internet e dotato di un comune browser idoneo ad operare in modo corretto sulla PAD; </w:t>
      </w:r>
    </w:p>
    <w:p w14:paraId="062C22BE" w14:textId="77777777" w:rsidR="00611687" w:rsidRPr="00611687" w:rsidRDefault="00611687" w:rsidP="00611687">
      <w:pPr>
        <w:widowControl w:val="0"/>
        <w:numPr>
          <w:ilvl w:val="1"/>
          <w:numId w:val="12"/>
        </w:numPr>
        <w:tabs>
          <w:tab w:val="left" w:pos="360"/>
        </w:tabs>
        <w:ind w:left="709" w:hanging="357"/>
        <w:rPr>
          <w:rFonts w:ascii="Titillium" w:hAnsi="Titillium" w:cs="Calibri"/>
          <w:color w:val="000000"/>
          <w:sz w:val="18"/>
          <w:szCs w:val="18"/>
        </w:rPr>
      </w:pPr>
      <w:r w:rsidRPr="00611687">
        <w:rPr>
          <w:rFonts w:ascii="Titillium" w:hAnsi="Titillium" w:cs="Calibri"/>
          <w:color w:val="000000"/>
          <w:sz w:val="18"/>
          <w:szCs w:val="18"/>
        </w:rPr>
        <w:t xml:space="preserve">disporre di una identità digitale SPID (Sistema Pubblico di Identità Digitale) o di altri mezzi di identificazione elettronica (CIE e CNS) di cui all’articolo 64 del Codice dell'Amministrazione Digitale (decreto legislativo 7 marzo 2005, n. 82 e successive modificazioni), nonché di mezzi di identificazione elettronica per il riconoscimento reciproco transfrontaliero ai sensi del Regolamento eIDAS; in caso di operatore economico extra-UE, disporre di un’identità digitale </w:t>
      </w:r>
      <w:r w:rsidRPr="00611687">
        <w:rPr>
          <w:rFonts w:ascii="Titillium" w:eastAsia="Calibri" w:hAnsi="Titillium" w:cs="Book-Antiqua,Bold"/>
          <w:color w:val="000000"/>
          <w:sz w:val="18"/>
          <w:szCs w:val="18"/>
          <w:lang w:eastAsia="it-IT"/>
        </w:rPr>
        <w:t>compatibile con il framework</w:t>
      </w:r>
      <w:r w:rsidRPr="00611687">
        <w:rPr>
          <w:rFonts w:ascii="Titillium" w:hAnsi="Titillium" w:cs="Calibri"/>
          <w:color w:val="000000"/>
          <w:sz w:val="18"/>
          <w:szCs w:val="18"/>
        </w:rPr>
        <w:t xml:space="preserve"> di autenticazione stabilito dalla PAD di riferimento e caratterizzata da un Level of Assurance (LoA) pari o superiore a 3, in conformità allo standard ISO/IEC 29115 (e relative evoluzioni);</w:t>
      </w:r>
    </w:p>
    <w:p w14:paraId="663D8D04" w14:textId="77777777" w:rsidR="00611687" w:rsidRPr="00611687" w:rsidRDefault="00611687" w:rsidP="00611687">
      <w:pPr>
        <w:widowControl w:val="0"/>
        <w:numPr>
          <w:ilvl w:val="1"/>
          <w:numId w:val="12"/>
        </w:numPr>
        <w:tabs>
          <w:tab w:val="left" w:pos="360"/>
        </w:tabs>
        <w:ind w:left="709"/>
        <w:rPr>
          <w:rFonts w:ascii="Titillium" w:hAnsi="Titillium" w:cs="Calibri"/>
          <w:bCs/>
          <w:color w:val="000000"/>
          <w:sz w:val="18"/>
          <w:szCs w:val="18"/>
        </w:rPr>
      </w:pPr>
      <w:r w:rsidRPr="00611687">
        <w:rPr>
          <w:rFonts w:ascii="Titillium" w:hAnsi="Titillium" w:cs="Calibri"/>
          <w:bCs/>
          <w:color w:val="000000"/>
          <w:sz w:val="18"/>
          <w:szCs w:val="18"/>
        </w:rPr>
        <w:t>avere un domicilio digitale presente negli indici di cui agli articoli 6-bis e 6-ter del decreto legislativo 7 marzo 2005, n. 82 o, per l’operatore economico transfrontaliero, un indirizzo di servizio elettronico di recapito certificato qualificato ai sensi del Regolamento eIDAS;</w:t>
      </w:r>
    </w:p>
    <w:p w14:paraId="6257C2EB" w14:textId="77777777" w:rsidR="00611687" w:rsidRPr="00611687" w:rsidRDefault="00611687" w:rsidP="00611687">
      <w:pPr>
        <w:widowControl w:val="0"/>
        <w:numPr>
          <w:ilvl w:val="1"/>
          <w:numId w:val="12"/>
        </w:numPr>
        <w:tabs>
          <w:tab w:val="left" w:pos="360"/>
        </w:tabs>
        <w:ind w:left="709"/>
        <w:rPr>
          <w:rFonts w:ascii="Titillium" w:hAnsi="Titillium" w:cs="Calibri"/>
          <w:bCs/>
          <w:color w:val="000000"/>
          <w:sz w:val="18"/>
          <w:szCs w:val="18"/>
        </w:rPr>
      </w:pPr>
      <w:r w:rsidRPr="00611687">
        <w:rPr>
          <w:rFonts w:ascii="Titillium" w:hAnsi="Titillium" w:cs="Calibri"/>
          <w:bCs/>
          <w:color w:val="000000"/>
          <w:sz w:val="18"/>
          <w:szCs w:val="18"/>
        </w:rPr>
        <w:t>avere da parte del legale rappresentante dell’operatore economico (o da persona munita di idonei poteri di firma) un certificato di firma digitale, in corso di validità, rilasciato da:</w:t>
      </w:r>
    </w:p>
    <w:p w14:paraId="5BDDA3DC" w14:textId="77777777" w:rsidR="00611687" w:rsidRPr="00611687" w:rsidRDefault="00611687" w:rsidP="00611687">
      <w:pPr>
        <w:widowControl w:val="0"/>
        <w:numPr>
          <w:ilvl w:val="1"/>
          <w:numId w:val="11"/>
        </w:numPr>
        <w:tabs>
          <w:tab w:val="left" w:pos="360"/>
        </w:tabs>
        <w:ind w:left="1134"/>
        <w:rPr>
          <w:rFonts w:ascii="Titillium" w:hAnsi="Titillium" w:cs="Calibri"/>
          <w:bCs/>
          <w:color w:val="000000"/>
          <w:sz w:val="18"/>
          <w:szCs w:val="18"/>
        </w:rPr>
      </w:pPr>
      <w:r w:rsidRPr="00611687">
        <w:rPr>
          <w:rFonts w:ascii="Titillium" w:hAnsi="Titillium" w:cs="Calibri"/>
          <w:bCs/>
          <w:color w:val="000000"/>
          <w:sz w:val="18"/>
          <w:szCs w:val="18"/>
        </w:rPr>
        <w:t xml:space="preserve">un organismo incluso nell’elenco pubblico dei certificatori tenuto dall’Agenzia per l’Italia Digitale (previsto dall’articolo 29 del decreto legislativo n. 82/05); </w:t>
      </w:r>
    </w:p>
    <w:p w14:paraId="60E41DBD" w14:textId="77777777" w:rsidR="00611687" w:rsidRPr="00611687" w:rsidRDefault="00611687" w:rsidP="00611687">
      <w:pPr>
        <w:widowControl w:val="0"/>
        <w:numPr>
          <w:ilvl w:val="1"/>
          <w:numId w:val="11"/>
        </w:numPr>
        <w:tabs>
          <w:tab w:val="left" w:pos="360"/>
        </w:tabs>
        <w:ind w:left="1134"/>
        <w:rPr>
          <w:rFonts w:ascii="Titillium" w:hAnsi="Titillium" w:cs="Calibri"/>
          <w:bCs/>
          <w:color w:val="000000"/>
          <w:sz w:val="18"/>
          <w:szCs w:val="18"/>
        </w:rPr>
      </w:pPr>
      <w:r w:rsidRPr="00611687">
        <w:rPr>
          <w:rFonts w:ascii="Titillium" w:hAnsi="Titillium" w:cs="Calibri"/>
          <w:bCs/>
          <w:color w:val="000000"/>
          <w:sz w:val="18"/>
          <w:szCs w:val="18"/>
        </w:rPr>
        <w:t xml:space="preserve">un certificatore operante in base a una licenza o autorizzazione rilasciata da uno Stato membro dell’Unione europea e in possesso dei requisiti previsti dal Regolamento n. 910/14; </w:t>
      </w:r>
    </w:p>
    <w:p w14:paraId="2A55CE4D" w14:textId="77777777" w:rsidR="00611687" w:rsidRPr="00611687" w:rsidRDefault="00611687" w:rsidP="00611687">
      <w:pPr>
        <w:widowControl w:val="0"/>
        <w:numPr>
          <w:ilvl w:val="1"/>
          <w:numId w:val="11"/>
        </w:numPr>
        <w:tabs>
          <w:tab w:val="left" w:pos="360"/>
        </w:tabs>
        <w:ind w:left="1134"/>
        <w:rPr>
          <w:rFonts w:ascii="Book-Antiqua,Bold" w:eastAsia="Calibri" w:hAnsi="Book-Antiqua,Bold" w:cs="Book-Antiqua,Bold"/>
          <w:color w:val="000000"/>
          <w:szCs w:val="24"/>
          <w:lang w:eastAsia="it-IT"/>
        </w:rPr>
      </w:pPr>
      <w:r w:rsidRPr="00611687">
        <w:rPr>
          <w:rFonts w:ascii="Titillium" w:hAnsi="Titillium" w:cs="Calibri"/>
          <w:bCs/>
          <w:color w:val="000000"/>
          <w:sz w:val="18"/>
          <w:szCs w:val="18"/>
        </w:rPr>
        <w:t>un certificatore stabilito in uno Stato non facente parte dell’Unione europea quando ricorre una delle seguenti condizioni</w:t>
      </w:r>
      <w:r w:rsidRPr="00611687">
        <w:rPr>
          <w:rFonts w:ascii="Titillium" w:hAnsi="Titillium" w:cs="Calibri"/>
          <w:bCs/>
          <w:iCs/>
          <w:color w:val="000000"/>
          <w:sz w:val="18"/>
          <w:szCs w:val="18"/>
          <w:lang w:eastAsia="it-IT"/>
        </w:rPr>
        <w:t xml:space="preserve">: </w:t>
      </w:r>
    </w:p>
    <w:p w14:paraId="38D8365E" w14:textId="77777777" w:rsidR="00611687" w:rsidRPr="00611687" w:rsidRDefault="00611687" w:rsidP="00611687">
      <w:pPr>
        <w:widowControl w:val="0"/>
        <w:numPr>
          <w:ilvl w:val="0"/>
          <w:numId w:val="17"/>
        </w:numPr>
        <w:rPr>
          <w:rFonts w:ascii="Book-Antiqua,Bold" w:eastAsia="Calibri" w:hAnsi="Book-Antiqua,Bold" w:cs="Book-Antiqua,Bold"/>
          <w:color w:val="000000"/>
          <w:szCs w:val="24"/>
          <w:lang w:eastAsia="it-IT"/>
        </w:rPr>
      </w:pPr>
      <w:r w:rsidRPr="00611687">
        <w:rPr>
          <w:rFonts w:ascii="Titillium" w:hAnsi="Titillium" w:cs="Calibri"/>
          <w:bCs/>
          <w:iCs/>
          <w:color w:val="000000"/>
          <w:sz w:val="18"/>
          <w:szCs w:val="18"/>
          <w:lang w:eastAsia="it-IT"/>
        </w:rPr>
        <w:t xml:space="preserve">il certificatore possiede i requisiti previsti dal Regolamento </w:t>
      </w:r>
      <w:r w:rsidRPr="00611687">
        <w:rPr>
          <w:rFonts w:ascii="Titillium" w:eastAsia="Calibri" w:hAnsi="Titillium" w:cs="Calibri"/>
          <w:bCs/>
          <w:iCs/>
          <w:color w:val="000000"/>
          <w:sz w:val="18"/>
          <w:szCs w:val="18"/>
          <w:lang w:eastAsia="it-IT"/>
        </w:rPr>
        <w:t xml:space="preserve">n. 910/14 </w:t>
      </w:r>
      <w:r w:rsidRPr="00611687">
        <w:rPr>
          <w:rFonts w:ascii="Titillium" w:hAnsi="Titillium" w:cs="Calibri"/>
          <w:bCs/>
          <w:iCs/>
          <w:color w:val="000000"/>
          <w:sz w:val="18"/>
          <w:szCs w:val="18"/>
          <w:lang w:eastAsia="it-IT"/>
        </w:rPr>
        <w:t xml:space="preserve">ed è qualificato in uno stato membro; </w:t>
      </w:r>
    </w:p>
    <w:p w14:paraId="59AA782F" w14:textId="77777777" w:rsidR="00611687" w:rsidRPr="00611687" w:rsidRDefault="00611687" w:rsidP="00611687">
      <w:pPr>
        <w:widowControl w:val="0"/>
        <w:numPr>
          <w:ilvl w:val="0"/>
          <w:numId w:val="17"/>
        </w:numPr>
        <w:rPr>
          <w:rFonts w:ascii="Titillium" w:hAnsi="Titillium" w:cs="Calibri"/>
          <w:bCs/>
          <w:iCs/>
          <w:color w:val="000000"/>
          <w:sz w:val="18"/>
          <w:szCs w:val="18"/>
          <w:lang w:eastAsia="it-IT"/>
        </w:rPr>
      </w:pPr>
      <w:r w:rsidRPr="00611687">
        <w:rPr>
          <w:rFonts w:ascii="Titillium" w:hAnsi="Titillium" w:cs="Calibri"/>
          <w:bCs/>
          <w:iCs/>
          <w:color w:val="000000"/>
          <w:sz w:val="18"/>
          <w:szCs w:val="18"/>
          <w:lang w:eastAsia="it-IT"/>
        </w:rPr>
        <w:t xml:space="preserve">il certificato qualificato è garantito da un certificatore stabilito nell’Unione Europea, in possesso dei </w:t>
      </w:r>
      <w:r w:rsidRPr="00611687">
        <w:rPr>
          <w:rFonts w:ascii="Titillium" w:hAnsi="Titillium" w:cs="Calibri"/>
          <w:bCs/>
          <w:iCs/>
          <w:color w:val="000000"/>
          <w:sz w:val="18"/>
          <w:szCs w:val="18"/>
          <w:lang w:eastAsia="it-IT"/>
        </w:rPr>
        <w:lastRenderedPageBreak/>
        <w:t xml:space="preserve">requisiti di cui al regolamento n. 9100/14; </w:t>
      </w:r>
    </w:p>
    <w:p w14:paraId="07160332" w14:textId="7BD17A36" w:rsidR="004C53A8" w:rsidRDefault="00611687" w:rsidP="00611687">
      <w:pPr>
        <w:pStyle w:val="Default"/>
        <w:numPr>
          <w:ilvl w:val="0"/>
          <w:numId w:val="17"/>
        </w:numPr>
        <w:rPr>
          <w:rFonts w:ascii="Titillium" w:eastAsia="Times New Roman" w:hAnsi="Titillium" w:cs="Calibri"/>
          <w:bCs/>
          <w:iCs/>
          <w:sz w:val="18"/>
          <w:szCs w:val="18"/>
          <w:highlight w:val="white"/>
        </w:rPr>
      </w:pPr>
      <w:r w:rsidRPr="00611687">
        <w:rPr>
          <w:rFonts w:ascii="Titillium" w:eastAsia="Times New Roman" w:hAnsi="Titillium" w:cs="Calibri"/>
          <w:bCs/>
          <w:iCs/>
          <w:color w:val="auto"/>
          <w:sz w:val="18"/>
          <w:szCs w:val="18"/>
          <w:lang w:eastAsia="en-US"/>
        </w:rPr>
        <w:t>il certificato qualificato, o il certificatore, è riconosciuto in forza di un accordo bilaterale o multilaterale tra l’Unione Europea e paesi terzi o organizzazioni internazionali</w:t>
      </w:r>
      <w:r w:rsidR="00870286">
        <w:rPr>
          <w:rFonts w:ascii="Titillium" w:eastAsia="Times New Roman" w:hAnsi="Titillium" w:cs="Calibri"/>
          <w:bCs/>
          <w:iCs/>
          <w:sz w:val="18"/>
          <w:szCs w:val="18"/>
          <w:highlight w:val="white"/>
        </w:rPr>
        <w:t xml:space="preserve">. </w:t>
      </w:r>
    </w:p>
    <w:p w14:paraId="169A14EE" w14:textId="54BD9164" w:rsidR="00373F22" w:rsidRDefault="00373F22" w:rsidP="00373F22">
      <w:pPr>
        <w:pStyle w:val="Default"/>
        <w:rPr>
          <w:rFonts w:ascii="Titillium" w:eastAsia="Times New Roman" w:hAnsi="Titillium" w:cs="Calibri"/>
          <w:bCs/>
          <w:iCs/>
          <w:sz w:val="18"/>
          <w:szCs w:val="18"/>
          <w:highlight w:val="white"/>
        </w:rPr>
      </w:pPr>
    </w:p>
    <w:p w14:paraId="7B60BC5B" w14:textId="57BE2767" w:rsidR="004C53A8" w:rsidRDefault="004C667D" w:rsidP="008300A5">
      <w:pPr>
        <w:pStyle w:val="Titolo3"/>
        <w:numPr>
          <w:ilvl w:val="1"/>
          <w:numId w:val="3"/>
        </w:numPr>
        <w:ind w:left="426" w:hanging="426"/>
        <w:rPr>
          <w:rFonts w:ascii="Titillium" w:hAnsi="Titillium"/>
          <w:iCs/>
          <w:sz w:val="18"/>
          <w:szCs w:val="18"/>
        </w:rPr>
      </w:pPr>
      <w:bookmarkStart w:id="43" w:name="_Toc89270272"/>
      <w:r>
        <w:rPr>
          <w:rFonts w:ascii="Titillium" w:hAnsi="Titillium"/>
          <w:iCs/>
          <w:caps w:val="0"/>
          <w:sz w:val="18"/>
          <w:szCs w:val="18"/>
        </w:rPr>
        <w:t>IDENTIFICAZIONE</w:t>
      </w:r>
      <w:bookmarkEnd w:id="43"/>
    </w:p>
    <w:p w14:paraId="5DC253CC" w14:textId="77777777" w:rsidR="00E92FA4" w:rsidRPr="00AF481C" w:rsidRDefault="00E92FA4" w:rsidP="00E92FA4">
      <w:pPr>
        <w:rPr>
          <w:rFonts w:ascii="Titillium" w:hAnsi="Titillium" w:cs="Calibri"/>
          <w:bCs/>
          <w:iCs/>
          <w:sz w:val="18"/>
          <w:szCs w:val="18"/>
        </w:rPr>
      </w:pPr>
      <w:r w:rsidRPr="00AF481C">
        <w:rPr>
          <w:rFonts w:ascii="Titillium" w:hAnsi="Titillium" w:cs="Calibri"/>
          <w:bCs/>
          <w:iCs/>
          <w:sz w:val="18"/>
          <w:szCs w:val="18"/>
        </w:rPr>
        <w:t>Per poter presentare offerta è necessario accedere alla PAD.</w:t>
      </w:r>
    </w:p>
    <w:p w14:paraId="03159BB8" w14:textId="77777777" w:rsidR="00E92FA4" w:rsidRPr="00AF481C" w:rsidRDefault="00E92FA4" w:rsidP="00E92FA4">
      <w:pPr>
        <w:rPr>
          <w:rFonts w:ascii="Titillium" w:hAnsi="Titillium"/>
          <w:sz w:val="18"/>
          <w:szCs w:val="18"/>
        </w:rPr>
      </w:pPr>
      <w:r w:rsidRPr="00AF481C">
        <w:rPr>
          <w:rFonts w:ascii="Titillium" w:hAnsi="Titillium"/>
          <w:sz w:val="18"/>
          <w:szCs w:val="18"/>
        </w:rPr>
        <w:t xml:space="preserve">L’accesso è gratuito ed è consentito a seguito dell’identificazione dell’operatore economico. </w:t>
      </w:r>
    </w:p>
    <w:p w14:paraId="6F0396D1" w14:textId="77777777" w:rsidR="00E92FA4" w:rsidRPr="00AF481C" w:rsidRDefault="00E92FA4" w:rsidP="00E92FA4">
      <w:pPr>
        <w:rPr>
          <w:rFonts w:ascii="Titillium" w:hAnsi="Titillium"/>
          <w:sz w:val="18"/>
          <w:szCs w:val="18"/>
        </w:rPr>
      </w:pPr>
      <w:r w:rsidRPr="00AF481C">
        <w:rPr>
          <w:rFonts w:ascii="Titillium" w:hAnsi="Titillium"/>
          <w:sz w:val="18"/>
          <w:szCs w:val="18"/>
        </w:rPr>
        <w:t xml:space="preserve">L’identificazione avviene o mediante identità digitale SPID, o mediante carta d’identità elettronica (CIE) oppure carta nazionale dei servizi (CNS), secondo quanto previsto dal </w:t>
      </w:r>
      <w:r w:rsidRPr="00AF481C">
        <w:rPr>
          <w:rFonts w:ascii="Titillium" w:hAnsi="Titillium" w:cs="Calibri"/>
          <w:sz w:val="18"/>
          <w:szCs w:val="18"/>
        </w:rPr>
        <w:t>Codice dell'Amministrazione Digitale (decreto legislativo 7 marzo 2005, n. 82 e successive modificazioni),</w:t>
      </w:r>
      <w:r w:rsidRPr="00AF481C">
        <w:rPr>
          <w:rFonts w:ascii="Titillium" w:hAnsi="Titillium"/>
          <w:sz w:val="18"/>
          <w:szCs w:val="18"/>
        </w:rPr>
        <w:t xml:space="preserve"> o attraverso gli altri mezzi di identificazione elettronica per il riconoscimento reciproco transfrontaliero ai sensi del Regolamento eIDAS. In caso di operatore economico extra-UE, l’identificazione avviene attraverso una identità digitale compatibile con il framework di autenticazione stabilito dalla PAD di riferimento e caratterizzata da un Level of Assurance (LoA) pari o superiore a 3, in conformità allo standard ISO/IEC 29115 (e relative evoluzioni).</w:t>
      </w:r>
    </w:p>
    <w:p w14:paraId="77BDB9E0" w14:textId="77777777" w:rsidR="00E92FA4" w:rsidRDefault="00E92FA4" w:rsidP="00E92FA4">
      <w:pPr>
        <w:pStyle w:val="Default"/>
        <w:tabs>
          <w:tab w:val="left" w:pos="0"/>
        </w:tabs>
        <w:spacing w:before="60" w:after="60"/>
        <w:rPr>
          <w:rFonts w:ascii="Titillium" w:hAnsi="Titillium"/>
          <w:sz w:val="18"/>
          <w:szCs w:val="18"/>
        </w:rPr>
      </w:pPr>
      <w:r w:rsidRPr="00AF481C">
        <w:rPr>
          <w:rFonts w:ascii="Titillium" w:hAnsi="Titillium"/>
          <w:sz w:val="18"/>
          <w:szCs w:val="18"/>
        </w:rPr>
        <w:t xml:space="preserve">Una volta completata la procedura di identificazione, ad ogni operatore economico identificato viene attribuito un profilo da utilizzare nella procedura di gara. </w:t>
      </w:r>
    </w:p>
    <w:p w14:paraId="75905C3B" w14:textId="43C11ABE" w:rsidR="004C53A8" w:rsidRPr="00E92FA4" w:rsidRDefault="00E92FA4" w:rsidP="00E92FA4">
      <w:pPr>
        <w:pStyle w:val="Default"/>
        <w:tabs>
          <w:tab w:val="left" w:pos="0"/>
        </w:tabs>
        <w:spacing w:before="60" w:after="60"/>
        <w:rPr>
          <w:rFonts w:ascii="Titillium" w:hAnsi="Titillium"/>
          <w:color w:val="2E74B5" w:themeColor="accent1" w:themeShade="BF"/>
          <w:sz w:val="18"/>
          <w:szCs w:val="18"/>
        </w:rPr>
      </w:pPr>
      <w:r w:rsidRPr="00E92FA4">
        <w:rPr>
          <w:rFonts w:ascii="Calibri" w:eastAsia="Tahoma" w:hAnsi="Calibri" w:cs="Calibri"/>
          <w:b/>
          <w:bCs/>
          <w:color w:val="2E74B5" w:themeColor="accent1" w:themeShade="BF"/>
          <w:sz w:val="20"/>
          <w:szCs w:val="20"/>
          <w:lang w:bidi="it-IT"/>
        </w:rPr>
        <w:t>Per domande relative all’utilizzo di SATER si invitano gli operatori economici a far riferimento esclusivamente al numero verde 800 810 799.</w:t>
      </w:r>
      <w:r w:rsidR="00870286" w:rsidRPr="00E92FA4">
        <w:rPr>
          <w:rFonts w:ascii="Titillium" w:hAnsi="Titillium"/>
          <w:color w:val="2E74B5" w:themeColor="accent1" w:themeShade="BF"/>
          <w:sz w:val="18"/>
          <w:szCs w:val="18"/>
        </w:rPr>
        <w:t xml:space="preserve"> </w:t>
      </w:r>
    </w:p>
    <w:p w14:paraId="78E4F3DA" w14:textId="0739202C" w:rsidR="004C53A8" w:rsidRDefault="00FD3C89" w:rsidP="008300A5">
      <w:pPr>
        <w:pStyle w:val="Titolo2"/>
        <w:numPr>
          <w:ilvl w:val="0"/>
          <w:numId w:val="3"/>
        </w:numPr>
        <w:spacing w:after="200"/>
        <w:ind w:left="357" w:hanging="357"/>
      </w:pPr>
      <w:bookmarkStart w:id="44" w:name="_Toc482101909"/>
      <w:bookmarkStart w:id="45" w:name="_Toc89270273"/>
      <w:bookmarkEnd w:id="44"/>
      <w:r>
        <w:rPr>
          <w:rFonts w:ascii="Titillium" w:hAnsi="Titillium"/>
          <w:sz w:val="18"/>
          <w:szCs w:val="18"/>
          <w:lang w:val="it-IT"/>
        </w:rPr>
        <w:t>d</w:t>
      </w:r>
      <w:r w:rsidR="00870286">
        <w:rPr>
          <w:rFonts w:ascii="Titillium" w:hAnsi="Titillium"/>
          <w:sz w:val="18"/>
          <w:szCs w:val="18"/>
        </w:rPr>
        <w:t>OCUMENTAZIONE DI GARA</w:t>
      </w:r>
      <w:r w:rsidR="00870286">
        <w:rPr>
          <w:rFonts w:ascii="Titillium" w:hAnsi="Titillium"/>
          <w:sz w:val="18"/>
          <w:szCs w:val="18"/>
          <w:lang w:val="it-IT"/>
        </w:rPr>
        <w:t>,</w:t>
      </w:r>
      <w:r w:rsidR="00870286">
        <w:rPr>
          <w:rFonts w:ascii="Titillium" w:hAnsi="Titillium"/>
          <w:sz w:val="18"/>
          <w:szCs w:val="18"/>
        </w:rPr>
        <w:t xml:space="preserve"> CHIARIMENTI</w:t>
      </w:r>
      <w:r w:rsidR="00870286">
        <w:rPr>
          <w:rFonts w:ascii="Titillium" w:hAnsi="Titillium"/>
          <w:sz w:val="18"/>
          <w:szCs w:val="18"/>
          <w:lang w:val="it-IT"/>
        </w:rPr>
        <w:t xml:space="preserve"> E COMUNICAZIONI</w:t>
      </w:r>
      <w:bookmarkEnd w:id="45"/>
    </w:p>
    <w:p w14:paraId="026BD960" w14:textId="2E960E98" w:rsidR="004C53A8" w:rsidRPr="00352F6C" w:rsidRDefault="004C667D" w:rsidP="008300A5">
      <w:pPr>
        <w:pStyle w:val="Titolo3"/>
        <w:numPr>
          <w:ilvl w:val="1"/>
          <w:numId w:val="3"/>
        </w:numPr>
        <w:ind w:left="426" w:hanging="426"/>
        <w:rPr>
          <w:rFonts w:ascii="Titillium" w:hAnsi="Titillium"/>
          <w:iCs/>
          <w:sz w:val="18"/>
          <w:szCs w:val="18"/>
        </w:rPr>
      </w:pPr>
      <w:bookmarkStart w:id="46" w:name="_Toc89270274"/>
      <w:r w:rsidRPr="00352F6C">
        <w:rPr>
          <w:rFonts w:ascii="Titillium" w:hAnsi="Titillium"/>
          <w:iCs/>
          <w:sz w:val="18"/>
          <w:szCs w:val="18"/>
        </w:rPr>
        <w:t>DOCUMENTI DI GARA</w:t>
      </w:r>
      <w:bookmarkEnd w:id="46"/>
      <w:r w:rsidR="00BB4B29">
        <w:rPr>
          <w:rFonts w:ascii="Titillium" w:hAnsi="Titillium"/>
          <w:iCs/>
          <w:sz w:val="18"/>
          <w:szCs w:val="18"/>
          <w:lang w:val="it-IT"/>
        </w:rPr>
        <w:t xml:space="preserve"> </w:t>
      </w:r>
    </w:p>
    <w:p w14:paraId="48B6D2F8" w14:textId="5465EDA2" w:rsidR="00145410" w:rsidRDefault="00145410" w:rsidP="003A2E19">
      <w:pPr>
        <w:ind w:left="142"/>
        <w:rPr>
          <w:rFonts w:ascii="Titillium" w:hAnsi="Titillium" w:cs="Calibri"/>
          <w:sz w:val="18"/>
          <w:szCs w:val="18"/>
        </w:rPr>
      </w:pPr>
      <w:r w:rsidRPr="00145410">
        <w:rPr>
          <w:rFonts w:ascii="Titillium" w:hAnsi="Titillium" w:cs="Calibri"/>
          <w:sz w:val="18"/>
          <w:szCs w:val="18"/>
        </w:rPr>
        <w:t xml:space="preserve">La documentazione di gara </w:t>
      </w:r>
      <w:r w:rsidR="00734EBE">
        <w:rPr>
          <w:rFonts w:ascii="Titillium" w:hAnsi="Titillium" w:cs="Calibri"/>
          <w:sz w:val="18"/>
          <w:szCs w:val="18"/>
        </w:rPr>
        <w:t>comprende</w:t>
      </w:r>
      <w:r w:rsidR="003A2E19">
        <w:rPr>
          <w:rFonts w:ascii="Titillium" w:hAnsi="Titillium" w:cs="Calibri"/>
          <w:sz w:val="18"/>
          <w:szCs w:val="18"/>
        </w:rPr>
        <w:t>:</w:t>
      </w:r>
    </w:p>
    <w:p w14:paraId="527240D1" w14:textId="37927A4B" w:rsidR="00734EBE" w:rsidRPr="00734EBE" w:rsidRDefault="00415E15" w:rsidP="00B0120C">
      <w:pPr>
        <w:pStyle w:val="Paragrafoelenco"/>
        <w:numPr>
          <w:ilvl w:val="0"/>
          <w:numId w:val="52"/>
        </w:numPr>
        <w:ind w:left="567"/>
        <w:rPr>
          <w:rFonts w:ascii="Titillium" w:hAnsi="Titillium" w:cs="Calibri"/>
          <w:sz w:val="18"/>
          <w:szCs w:val="18"/>
        </w:rPr>
      </w:pPr>
      <w:r>
        <w:rPr>
          <w:rFonts w:ascii="Titillium" w:hAnsi="Titillium" w:cs="Calibri"/>
          <w:sz w:val="18"/>
          <w:szCs w:val="18"/>
        </w:rPr>
        <w:t xml:space="preserve">Documentazione del Comune di </w:t>
      </w:r>
      <w:r w:rsidR="009A2A77">
        <w:rPr>
          <w:rFonts w:ascii="Titillium" w:hAnsi="Titillium" w:cs="Calibri"/>
          <w:sz w:val="18"/>
          <w:szCs w:val="18"/>
        </w:rPr>
        <w:t>Castel San Giovanni</w:t>
      </w:r>
      <w:r>
        <w:rPr>
          <w:rFonts w:ascii="Titillium" w:hAnsi="Titillium" w:cs="Calibri"/>
          <w:sz w:val="18"/>
          <w:szCs w:val="18"/>
        </w:rPr>
        <w:t xml:space="preserve"> comprendente:</w:t>
      </w:r>
    </w:p>
    <w:p w14:paraId="4573E383" w14:textId="0DA1A240" w:rsidR="007A0B00" w:rsidRPr="007A0B00" w:rsidRDefault="007A0B00" w:rsidP="00B0120C">
      <w:pPr>
        <w:pStyle w:val="Paragrafoelenco"/>
        <w:numPr>
          <w:ilvl w:val="0"/>
          <w:numId w:val="18"/>
        </w:numPr>
        <w:spacing w:before="60" w:after="60"/>
        <w:ind w:left="993"/>
        <w:rPr>
          <w:rFonts w:ascii="Titillium" w:hAnsi="Titillium" w:cs="Calibri"/>
          <w:sz w:val="18"/>
          <w:szCs w:val="18"/>
        </w:rPr>
      </w:pPr>
      <w:bookmarkStart w:id="47" w:name="_Hlk98755104"/>
      <w:bookmarkStart w:id="48" w:name="_Hlk106015898"/>
      <w:r w:rsidRPr="007A0B00">
        <w:rPr>
          <w:rFonts w:ascii="Titillium" w:hAnsi="Titillium" w:cs="Calibri"/>
          <w:sz w:val="18"/>
          <w:szCs w:val="18"/>
        </w:rPr>
        <w:t>Progetto di servizio</w:t>
      </w:r>
      <w:r w:rsidR="00A357A3">
        <w:rPr>
          <w:rFonts w:ascii="Titillium" w:hAnsi="Titillium" w:cs="Calibri"/>
          <w:sz w:val="18"/>
          <w:szCs w:val="18"/>
        </w:rPr>
        <w:t>,</w:t>
      </w:r>
      <w:r w:rsidR="00A357A3" w:rsidRPr="00A357A3">
        <w:rPr>
          <w:rFonts w:ascii="Titillium" w:hAnsi="Titillium" w:cs="Calibri"/>
          <w:sz w:val="18"/>
          <w:szCs w:val="18"/>
        </w:rPr>
        <w:t xml:space="preserve"> ai sensi dell’art. 41 del D. Lgs. 36/2023;</w:t>
      </w:r>
    </w:p>
    <w:p w14:paraId="09EBE698" w14:textId="1DA4C92B" w:rsidR="007A0B00" w:rsidRPr="007A0B00" w:rsidRDefault="007A0B00" w:rsidP="00B0120C">
      <w:pPr>
        <w:pStyle w:val="Paragrafoelenco"/>
        <w:numPr>
          <w:ilvl w:val="0"/>
          <w:numId w:val="18"/>
        </w:numPr>
        <w:spacing w:before="60" w:after="60"/>
        <w:ind w:left="993"/>
        <w:rPr>
          <w:rFonts w:ascii="Titillium" w:hAnsi="Titillium" w:cs="Calibri"/>
          <w:sz w:val="18"/>
          <w:szCs w:val="18"/>
        </w:rPr>
      </w:pPr>
      <w:r w:rsidRPr="007A0B00">
        <w:rPr>
          <w:rFonts w:ascii="Titillium" w:hAnsi="Titillium" w:cs="Calibri"/>
          <w:sz w:val="18"/>
          <w:szCs w:val="18"/>
        </w:rPr>
        <w:t>Capitolato speciale descrittivo e prestazionale</w:t>
      </w:r>
      <w:r w:rsidR="00EE708A" w:rsidRPr="00EE708A">
        <w:rPr>
          <w:rFonts w:ascii="Titillium" w:hAnsi="Titillium" w:cs="Calibri"/>
          <w:sz w:val="18"/>
          <w:szCs w:val="18"/>
        </w:rPr>
        <w:t>;</w:t>
      </w:r>
    </w:p>
    <w:p w14:paraId="40851C13" w14:textId="0A2A829E" w:rsidR="00B0120C" w:rsidRDefault="007A0B00" w:rsidP="00E9658F">
      <w:pPr>
        <w:pStyle w:val="Paragrafoelenco"/>
        <w:numPr>
          <w:ilvl w:val="0"/>
          <w:numId w:val="18"/>
        </w:numPr>
        <w:spacing w:before="60" w:after="60"/>
        <w:ind w:left="993"/>
        <w:rPr>
          <w:rFonts w:ascii="Titillium" w:hAnsi="Titillium" w:cs="Calibri"/>
          <w:sz w:val="18"/>
          <w:szCs w:val="18"/>
        </w:rPr>
      </w:pPr>
      <w:r w:rsidRPr="007A0B00">
        <w:rPr>
          <w:rFonts w:ascii="Titillium" w:hAnsi="Titillium" w:cs="Calibri"/>
          <w:sz w:val="18"/>
          <w:szCs w:val="18"/>
        </w:rPr>
        <w:t>Schema di contratto</w:t>
      </w:r>
      <w:r w:rsidR="00AC51B9" w:rsidRPr="00AC51B9">
        <w:rPr>
          <w:rFonts w:ascii="Titillium" w:hAnsi="Titillium" w:cs="Calibri"/>
          <w:sz w:val="18"/>
          <w:szCs w:val="18"/>
        </w:rPr>
        <w:t>;</w:t>
      </w:r>
    </w:p>
    <w:p w14:paraId="1EAEFD36" w14:textId="7F01BBD9" w:rsidR="00046608" w:rsidRPr="00911A0F" w:rsidRDefault="00046608" w:rsidP="00B0120C">
      <w:pPr>
        <w:pStyle w:val="Paragrafoelenco"/>
        <w:numPr>
          <w:ilvl w:val="0"/>
          <w:numId w:val="18"/>
        </w:numPr>
        <w:ind w:left="993"/>
        <w:rPr>
          <w:rFonts w:ascii="Titillium" w:hAnsi="Titillium" w:cs="Calibri"/>
          <w:sz w:val="18"/>
          <w:szCs w:val="18"/>
        </w:rPr>
      </w:pPr>
      <w:r>
        <w:rPr>
          <w:rFonts w:ascii="Titillium" w:hAnsi="Titillium" w:cs="Calibri"/>
          <w:sz w:val="18"/>
          <w:szCs w:val="18"/>
        </w:rPr>
        <w:t xml:space="preserve">Codice di Comportamento - </w:t>
      </w:r>
      <w:r w:rsidR="00E863CF" w:rsidRPr="00E02BE6">
        <w:rPr>
          <w:rFonts w:ascii="Titillium" w:hAnsi="Titillium" w:cs="Calibri"/>
          <w:sz w:val="18"/>
          <w:szCs w:val="18"/>
        </w:rPr>
        <w:t xml:space="preserve">Deliberazione di Giunta </w:t>
      </w:r>
      <w:r w:rsidR="00E863CF" w:rsidRPr="00911A0F">
        <w:rPr>
          <w:rFonts w:ascii="Titillium" w:hAnsi="Titillium" w:cs="Calibri"/>
          <w:sz w:val="18"/>
          <w:szCs w:val="18"/>
        </w:rPr>
        <w:t xml:space="preserve">Comunale n. </w:t>
      </w:r>
      <w:r w:rsidR="00911A0F" w:rsidRPr="00911A0F">
        <w:rPr>
          <w:rFonts w:ascii="Titillium" w:hAnsi="Titillium" w:cs="Calibri"/>
          <w:sz w:val="18"/>
          <w:szCs w:val="18"/>
        </w:rPr>
        <w:t>137</w:t>
      </w:r>
      <w:r w:rsidR="00E863CF" w:rsidRPr="00911A0F">
        <w:rPr>
          <w:rFonts w:ascii="Titillium" w:hAnsi="Titillium" w:cs="Calibri"/>
          <w:sz w:val="18"/>
          <w:szCs w:val="18"/>
        </w:rPr>
        <w:t xml:space="preserve"> del </w:t>
      </w:r>
      <w:r w:rsidR="00E02BE6" w:rsidRPr="00911A0F">
        <w:rPr>
          <w:rFonts w:ascii="Titillium" w:hAnsi="Titillium" w:cs="Calibri"/>
          <w:sz w:val="18"/>
          <w:szCs w:val="18"/>
        </w:rPr>
        <w:t>2</w:t>
      </w:r>
      <w:r w:rsidR="00911A0F" w:rsidRPr="00911A0F">
        <w:rPr>
          <w:rFonts w:ascii="Titillium" w:hAnsi="Titillium" w:cs="Calibri"/>
          <w:sz w:val="18"/>
          <w:szCs w:val="18"/>
        </w:rPr>
        <w:t>8</w:t>
      </w:r>
      <w:r w:rsidR="00E02BE6" w:rsidRPr="00911A0F">
        <w:rPr>
          <w:rFonts w:ascii="Titillium" w:hAnsi="Titillium" w:cs="Calibri"/>
          <w:sz w:val="18"/>
          <w:szCs w:val="18"/>
        </w:rPr>
        <w:t>/</w:t>
      </w:r>
      <w:r w:rsidR="00911A0F" w:rsidRPr="00911A0F">
        <w:rPr>
          <w:rFonts w:ascii="Titillium" w:hAnsi="Titillium" w:cs="Calibri"/>
          <w:sz w:val="18"/>
          <w:szCs w:val="18"/>
        </w:rPr>
        <w:t>10</w:t>
      </w:r>
      <w:r w:rsidR="00E02BE6" w:rsidRPr="00911A0F">
        <w:rPr>
          <w:rFonts w:ascii="Titillium" w:hAnsi="Titillium" w:cs="Calibri"/>
          <w:sz w:val="18"/>
          <w:szCs w:val="18"/>
        </w:rPr>
        <w:t>/20</w:t>
      </w:r>
      <w:r w:rsidR="00911A0F" w:rsidRPr="00911A0F">
        <w:rPr>
          <w:rFonts w:ascii="Titillium" w:hAnsi="Titillium" w:cs="Calibri"/>
          <w:sz w:val="18"/>
          <w:szCs w:val="18"/>
        </w:rPr>
        <w:t>21</w:t>
      </w:r>
      <w:r w:rsidR="00E863CF" w:rsidRPr="00911A0F">
        <w:rPr>
          <w:rFonts w:ascii="Titillium" w:hAnsi="Titillium" w:cs="Calibri"/>
          <w:sz w:val="18"/>
          <w:szCs w:val="18"/>
        </w:rPr>
        <w:t>;</w:t>
      </w:r>
    </w:p>
    <w:p w14:paraId="188594FA" w14:textId="77777777" w:rsidR="009A2A77" w:rsidRPr="00E02BE6" w:rsidRDefault="009A2A77" w:rsidP="009A2A77">
      <w:pPr>
        <w:pStyle w:val="Paragrafoelenco"/>
        <w:spacing w:before="60" w:after="60"/>
        <w:ind w:left="426"/>
        <w:rPr>
          <w:rFonts w:ascii="Titillium" w:hAnsi="Titillium" w:cs="Calibri"/>
          <w:sz w:val="18"/>
          <w:szCs w:val="18"/>
        </w:rPr>
      </w:pPr>
    </w:p>
    <w:p w14:paraId="6EEC5560" w14:textId="232A8B78" w:rsidR="00713887" w:rsidRPr="00415E15" w:rsidRDefault="0085179C" w:rsidP="00B0120C">
      <w:pPr>
        <w:pStyle w:val="Paragrafoelenco"/>
        <w:numPr>
          <w:ilvl w:val="0"/>
          <w:numId w:val="52"/>
        </w:numPr>
        <w:ind w:left="567"/>
        <w:rPr>
          <w:rFonts w:ascii="Titillium" w:hAnsi="Titillium" w:cs="Calibri"/>
          <w:sz w:val="18"/>
          <w:szCs w:val="18"/>
        </w:rPr>
      </w:pPr>
      <w:r>
        <w:rPr>
          <w:rFonts w:ascii="Titillium" w:hAnsi="Titillium" w:cs="Calibri"/>
          <w:sz w:val="18"/>
          <w:szCs w:val="18"/>
        </w:rPr>
        <w:t>Bando – Disciplinare di gara e i relativi allegati:</w:t>
      </w:r>
    </w:p>
    <w:bookmarkEnd w:id="47"/>
    <w:bookmarkEnd w:id="48"/>
    <w:p w14:paraId="205C7253" w14:textId="19FC11E0" w:rsidR="00CC2290" w:rsidRPr="005453DA" w:rsidRDefault="00CC2290" w:rsidP="00B0120C">
      <w:pPr>
        <w:pStyle w:val="Paragrafoelenco"/>
        <w:numPr>
          <w:ilvl w:val="0"/>
          <w:numId w:val="23"/>
        </w:numPr>
        <w:ind w:left="993"/>
        <w:rPr>
          <w:rFonts w:ascii="Titillium" w:hAnsi="Titillium" w:cs="Calibri"/>
          <w:sz w:val="18"/>
          <w:szCs w:val="18"/>
        </w:rPr>
      </w:pPr>
      <w:r w:rsidRPr="005453DA">
        <w:rPr>
          <w:rFonts w:ascii="Titillium" w:hAnsi="Titillium" w:cs="Calibri"/>
          <w:sz w:val="18"/>
          <w:szCs w:val="18"/>
        </w:rPr>
        <w:t xml:space="preserve">modulo istanza di partecipazione alla gara e dichiarazioni integrative per l’ammissione (“Allegato </w:t>
      </w:r>
      <w:r w:rsidR="00D33F82" w:rsidRPr="005453DA">
        <w:rPr>
          <w:rFonts w:ascii="Titillium" w:hAnsi="Titillium" w:cs="Calibri"/>
          <w:sz w:val="18"/>
          <w:szCs w:val="18"/>
        </w:rPr>
        <w:t>1</w:t>
      </w:r>
      <w:r w:rsidRPr="005453DA">
        <w:rPr>
          <w:rFonts w:ascii="Titillium" w:hAnsi="Titillium" w:cs="Calibri"/>
          <w:sz w:val="18"/>
          <w:szCs w:val="18"/>
        </w:rPr>
        <w:t>”)</w:t>
      </w:r>
      <w:r w:rsidR="005A70C1" w:rsidRPr="005453DA">
        <w:rPr>
          <w:rFonts w:ascii="Titillium" w:hAnsi="Titillium" w:cs="Calibri"/>
          <w:sz w:val="18"/>
          <w:szCs w:val="18"/>
        </w:rPr>
        <w:t>;</w:t>
      </w:r>
    </w:p>
    <w:p w14:paraId="4F37EDC4" w14:textId="623D7516" w:rsidR="001A7C7A" w:rsidRPr="005453DA" w:rsidRDefault="00CC2290" w:rsidP="00B0120C">
      <w:pPr>
        <w:pStyle w:val="Paragrafoelenco"/>
        <w:numPr>
          <w:ilvl w:val="0"/>
          <w:numId w:val="23"/>
        </w:numPr>
        <w:ind w:left="993"/>
        <w:rPr>
          <w:rFonts w:ascii="Titillium" w:hAnsi="Titillium" w:cs="Calibri"/>
          <w:sz w:val="18"/>
          <w:szCs w:val="18"/>
        </w:rPr>
      </w:pPr>
      <w:r w:rsidRPr="005453DA">
        <w:rPr>
          <w:rFonts w:ascii="Titillium" w:hAnsi="Titillium" w:cs="Calibri"/>
          <w:sz w:val="18"/>
          <w:szCs w:val="18"/>
        </w:rPr>
        <w:t>modulo “</w:t>
      </w:r>
      <w:r w:rsidR="00AA6864" w:rsidRPr="005453DA">
        <w:rPr>
          <w:rFonts w:ascii="Titillium" w:hAnsi="Titillium" w:cs="Calibri"/>
          <w:sz w:val="18"/>
          <w:szCs w:val="18"/>
        </w:rPr>
        <w:t>allegato all’o</w:t>
      </w:r>
      <w:r w:rsidRPr="005453DA">
        <w:rPr>
          <w:rFonts w:ascii="Titillium" w:hAnsi="Titillium" w:cs="Calibri"/>
          <w:sz w:val="18"/>
          <w:szCs w:val="18"/>
        </w:rPr>
        <w:t xml:space="preserve">fferta economica” (“Allegato </w:t>
      </w:r>
      <w:r w:rsidR="00B0120C">
        <w:rPr>
          <w:rFonts w:ascii="Titillium" w:hAnsi="Titillium" w:cs="Calibri"/>
          <w:sz w:val="18"/>
          <w:szCs w:val="18"/>
        </w:rPr>
        <w:t>2</w:t>
      </w:r>
      <w:r w:rsidRPr="005453DA">
        <w:rPr>
          <w:rFonts w:ascii="Titillium" w:hAnsi="Titillium" w:cs="Calibri"/>
          <w:sz w:val="18"/>
          <w:szCs w:val="18"/>
        </w:rPr>
        <w:t>”)</w:t>
      </w:r>
      <w:r w:rsidR="005A70C1" w:rsidRPr="005453DA">
        <w:rPr>
          <w:rFonts w:ascii="Titillium" w:hAnsi="Titillium" w:cs="Calibri"/>
          <w:sz w:val="18"/>
          <w:szCs w:val="18"/>
        </w:rPr>
        <w:t>;</w:t>
      </w:r>
    </w:p>
    <w:p w14:paraId="33A40CA0" w14:textId="21FC0D1F" w:rsidR="004B6290" w:rsidRDefault="005A70C1" w:rsidP="00B0120C">
      <w:pPr>
        <w:pStyle w:val="Paragrafoelenco"/>
        <w:numPr>
          <w:ilvl w:val="0"/>
          <w:numId w:val="23"/>
        </w:numPr>
        <w:ind w:left="993"/>
        <w:rPr>
          <w:rFonts w:ascii="Titillium" w:hAnsi="Titillium" w:cs="Calibri"/>
          <w:sz w:val="18"/>
          <w:szCs w:val="18"/>
        </w:rPr>
      </w:pPr>
      <w:r w:rsidRPr="005453DA">
        <w:rPr>
          <w:rFonts w:ascii="Titillium" w:hAnsi="Titillium" w:cs="Calibri"/>
          <w:sz w:val="18"/>
          <w:szCs w:val="18"/>
        </w:rPr>
        <w:t>modello relazione equivalenza tutele (da includere nella busta dell’offerta economica solo in caso di dichiarazione di CCNL</w:t>
      </w:r>
      <w:r w:rsidR="0067463D" w:rsidRPr="005453DA">
        <w:rPr>
          <w:rFonts w:ascii="Titillium" w:hAnsi="Titillium" w:cs="Calibri"/>
          <w:sz w:val="18"/>
          <w:szCs w:val="18"/>
        </w:rPr>
        <w:t xml:space="preserve"> </w:t>
      </w:r>
      <w:r w:rsidRPr="005453DA">
        <w:rPr>
          <w:rFonts w:ascii="Titillium" w:hAnsi="Titillium" w:cs="Calibri"/>
          <w:sz w:val="18"/>
          <w:szCs w:val="18"/>
        </w:rPr>
        <w:t xml:space="preserve">differente rispetto a quello individuato dalla Stazione Appaltante) (“Allegato </w:t>
      </w:r>
      <w:r w:rsidR="00B0120C">
        <w:rPr>
          <w:rFonts w:ascii="Titillium" w:hAnsi="Titillium" w:cs="Calibri"/>
          <w:sz w:val="18"/>
          <w:szCs w:val="18"/>
        </w:rPr>
        <w:t>3</w:t>
      </w:r>
      <w:r w:rsidRPr="005453DA">
        <w:rPr>
          <w:rFonts w:ascii="Titillium" w:hAnsi="Titillium" w:cs="Calibri"/>
          <w:sz w:val="18"/>
          <w:szCs w:val="18"/>
        </w:rPr>
        <w:t>”);</w:t>
      </w:r>
    </w:p>
    <w:p w14:paraId="2A9E061E" w14:textId="77777777" w:rsidR="00802BB7" w:rsidRPr="005453DA" w:rsidRDefault="00802BB7" w:rsidP="00802BB7">
      <w:pPr>
        <w:pStyle w:val="Paragrafoelenco"/>
        <w:numPr>
          <w:ilvl w:val="0"/>
          <w:numId w:val="23"/>
        </w:numPr>
        <w:ind w:left="993"/>
        <w:rPr>
          <w:rFonts w:ascii="Titillium" w:hAnsi="Titillium" w:cs="Calibri"/>
          <w:sz w:val="18"/>
          <w:szCs w:val="18"/>
        </w:rPr>
      </w:pPr>
      <w:r w:rsidRPr="005453DA">
        <w:rPr>
          <w:rFonts w:ascii="Titillium" w:hAnsi="Titillium" w:cs="Calibri"/>
          <w:sz w:val="18"/>
          <w:szCs w:val="18"/>
        </w:rPr>
        <w:t>Patto d’Integrità</w:t>
      </w:r>
      <w:r>
        <w:rPr>
          <w:rFonts w:ascii="Titillium" w:hAnsi="Titillium" w:cs="Calibri"/>
          <w:sz w:val="18"/>
          <w:szCs w:val="18"/>
        </w:rPr>
        <w:t xml:space="preserve"> adottato dal Comune di Castel San Giovanni</w:t>
      </w:r>
      <w:r w:rsidRPr="005453DA">
        <w:rPr>
          <w:rFonts w:ascii="Titillium" w:hAnsi="Titillium" w:cs="Calibri"/>
          <w:sz w:val="18"/>
          <w:szCs w:val="18"/>
        </w:rPr>
        <w:t xml:space="preserve"> da sottoscrivere da parte dei concorrenti per accettazione (“Allegato </w:t>
      </w:r>
      <w:r>
        <w:rPr>
          <w:rFonts w:ascii="Titillium" w:hAnsi="Titillium" w:cs="Calibri"/>
          <w:sz w:val="18"/>
          <w:szCs w:val="18"/>
        </w:rPr>
        <w:t>4</w:t>
      </w:r>
      <w:r w:rsidRPr="005453DA">
        <w:rPr>
          <w:rFonts w:ascii="Titillium" w:hAnsi="Titillium" w:cs="Calibri"/>
          <w:sz w:val="18"/>
          <w:szCs w:val="18"/>
        </w:rPr>
        <w:t>”);</w:t>
      </w:r>
    </w:p>
    <w:p w14:paraId="05F29579" w14:textId="6B1C5162" w:rsidR="00DB19B1" w:rsidRPr="00DB19B1" w:rsidRDefault="00022013" w:rsidP="00DB19B1">
      <w:pPr>
        <w:rPr>
          <w:rFonts w:ascii="Titillium" w:hAnsi="Titillium" w:cs="Calibri"/>
          <w:sz w:val="18"/>
          <w:szCs w:val="18"/>
        </w:rPr>
      </w:pPr>
      <w:r w:rsidRPr="00144008">
        <w:rPr>
          <w:rFonts w:ascii="Titillium" w:hAnsi="Titillium" w:cs="Calibri"/>
          <w:sz w:val="18"/>
          <w:szCs w:val="18"/>
        </w:rPr>
        <w:t xml:space="preserve">È inoltre allegato ai documenti di </w:t>
      </w:r>
      <w:r w:rsidRPr="00363E03">
        <w:rPr>
          <w:rFonts w:ascii="Titillium" w:hAnsi="Titillium" w:cs="Calibri"/>
          <w:sz w:val="18"/>
          <w:szCs w:val="18"/>
        </w:rPr>
        <w:t xml:space="preserve">gara </w:t>
      </w:r>
      <w:r>
        <w:rPr>
          <w:rFonts w:ascii="Titillium" w:hAnsi="Titillium" w:cs="Calibri"/>
          <w:sz w:val="18"/>
          <w:szCs w:val="18"/>
        </w:rPr>
        <w:t>il “</w:t>
      </w:r>
      <w:r w:rsidR="00DB19B1" w:rsidRPr="00DB19B1">
        <w:rPr>
          <w:rFonts w:ascii="Titillium" w:hAnsi="Titillium" w:cs="Calibri"/>
          <w:sz w:val="18"/>
          <w:szCs w:val="18"/>
        </w:rPr>
        <w:t xml:space="preserve">PROTOCOLLO D’INTESA PER LA LEGALITÀ E LA PREVENZIONE DEI TENTATIVI D INFILTRAZIONE CRIMINALE” sottoscritto dal Comune di Castel San Giovanni (PC) e la Prefettura di Piacenza </w:t>
      </w:r>
      <w:r w:rsidR="00DB19B1" w:rsidRPr="006344B4">
        <w:rPr>
          <w:rFonts w:ascii="Titillium" w:hAnsi="Titillium" w:cs="Calibri"/>
          <w:sz w:val="18"/>
          <w:szCs w:val="18"/>
        </w:rPr>
        <w:t xml:space="preserve">in data </w:t>
      </w:r>
      <w:r w:rsidR="006344B4" w:rsidRPr="006344B4">
        <w:rPr>
          <w:rFonts w:ascii="Titillium" w:hAnsi="Titillium" w:cs="Calibri"/>
          <w:sz w:val="18"/>
          <w:szCs w:val="18"/>
        </w:rPr>
        <w:t>24</w:t>
      </w:r>
      <w:r w:rsidR="00DB19B1" w:rsidRPr="006344B4">
        <w:rPr>
          <w:rFonts w:ascii="Titillium" w:hAnsi="Titillium" w:cs="Calibri"/>
          <w:sz w:val="18"/>
          <w:szCs w:val="18"/>
        </w:rPr>
        <w:t>/</w:t>
      </w:r>
      <w:r w:rsidR="006344B4" w:rsidRPr="006344B4">
        <w:rPr>
          <w:rFonts w:ascii="Titillium" w:hAnsi="Titillium" w:cs="Calibri"/>
          <w:sz w:val="18"/>
          <w:szCs w:val="18"/>
        </w:rPr>
        <w:t>09</w:t>
      </w:r>
      <w:r w:rsidR="00DB19B1" w:rsidRPr="006344B4">
        <w:rPr>
          <w:rFonts w:ascii="Titillium" w:hAnsi="Titillium" w:cs="Calibri"/>
          <w:sz w:val="18"/>
          <w:szCs w:val="18"/>
        </w:rPr>
        <w:t>/202</w:t>
      </w:r>
      <w:r w:rsidR="006344B4" w:rsidRPr="006344B4">
        <w:rPr>
          <w:rFonts w:ascii="Titillium" w:hAnsi="Titillium" w:cs="Calibri"/>
          <w:sz w:val="18"/>
          <w:szCs w:val="18"/>
        </w:rPr>
        <w:t>0</w:t>
      </w:r>
      <w:r w:rsidR="00DB19B1" w:rsidRPr="006344B4">
        <w:rPr>
          <w:rFonts w:ascii="Titillium" w:hAnsi="Titillium" w:cs="Calibri"/>
          <w:sz w:val="18"/>
          <w:szCs w:val="18"/>
        </w:rPr>
        <w:t>;</w:t>
      </w:r>
    </w:p>
    <w:p w14:paraId="27E1F2AE" w14:textId="0F7EFF6E" w:rsidR="005B5B23" w:rsidRDefault="005B5B23" w:rsidP="005B5B23">
      <w:pPr>
        <w:pStyle w:val="Paragrafoelenco"/>
        <w:ind w:left="0"/>
        <w:rPr>
          <w:rFonts w:ascii="Titillium" w:hAnsi="Titillium" w:cs="Calibri"/>
          <w:sz w:val="18"/>
          <w:szCs w:val="18"/>
        </w:rPr>
      </w:pPr>
    </w:p>
    <w:p w14:paraId="537FCF8F" w14:textId="7B25C79C" w:rsidR="006523EA" w:rsidRPr="00F63052" w:rsidRDefault="00362280" w:rsidP="00F63052">
      <w:pPr>
        <w:spacing w:before="60" w:after="60"/>
        <w:rPr>
          <w:rFonts w:ascii="Titillium" w:hAnsi="Titillium"/>
          <w:sz w:val="18"/>
          <w:szCs w:val="18"/>
        </w:rPr>
      </w:pPr>
      <w:r w:rsidRPr="00362280">
        <w:rPr>
          <w:rFonts w:ascii="Titillium" w:hAnsi="Titillium"/>
          <w:b/>
          <w:bCs/>
          <w:sz w:val="18"/>
          <w:szCs w:val="18"/>
        </w:rPr>
        <w:t xml:space="preserve">I documenti di gara sono disponibili per un accesso gratuito, illimitato e diretto </w:t>
      </w:r>
      <w:r w:rsidRPr="00362280">
        <w:rPr>
          <w:rFonts w:ascii="Titillium" w:hAnsi="Titillium"/>
          <w:sz w:val="18"/>
          <w:szCs w:val="18"/>
        </w:rPr>
        <w:t xml:space="preserve">sulla piattaforma SATER Sistema per gli Acquisti Telematici dell’Emilia-Romagna: </w:t>
      </w:r>
      <w:hyperlink r:id="rId17" w:history="1">
        <w:r w:rsidRPr="00AB21BE">
          <w:rPr>
            <w:rStyle w:val="Collegamentoipertestuale"/>
            <w:rFonts w:ascii="Titillium" w:hAnsi="Titillium"/>
            <w:sz w:val="18"/>
            <w:szCs w:val="18"/>
          </w:rPr>
          <w:t>http://intercenter.regione.emilia-romagna.it</w:t>
        </w:r>
      </w:hyperlink>
      <w:r>
        <w:rPr>
          <w:rFonts w:ascii="Titillium" w:hAnsi="Titillium"/>
          <w:sz w:val="18"/>
          <w:szCs w:val="18"/>
        </w:rPr>
        <w:t xml:space="preserve"> </w:t>
      </w:r>
      <w:r w:rsidRPr="00362280">
        <w:rPr>
          <w:rFonts w:ascii="Titillium" w:hAnsi="Titillium"/>
          <w:sz w:val="18"/>
          <w:szCs w:val="18"/>
        </w:rPr>
        <w:t xml:space="preserve"> – sezione “Bandi e avvisi”.</w:t>
      </w:r>
      <w:r w:rsidR="006523EA" w:rsidRPr="00362280">
        <w:rPr>
          <w:rFonts w:ascii="Titillium" w:hAnsi="Titillium" w:hint="eastAsia"/>
          <w:sz w:val="18"/>
          <w:szCs w:val="18"/>
        </w:rPr>
        <w:t>”</w:t>
      </w:r>
      <w:r w:rsidR="006523EA" w:rsidRPr="00362280">
        <w:rPr>
          <w:rFonts w:ascii="Titillium" w:hAnsi="Titillium"/>
          <w:sz w:val="18"/>
          <w:szCs w:val="18"/>
        </w:rPr>
        <w:t>.</w:t>
      </w:r>
    </w:p>
    <w:p w14:paraId="46782853" w14:textId="103CC702" w:rsidR="004C53A8" w:rsidRDefault="004C667D" w:rsidP="008300A5">
      <w:pPr>
        <w:pStyle w:val="Titolo3"/>
        <w:numPr>
          <w:ilvl w:val="1"/>
          <w:numId w:val="3"/>
        </w:numPr>
        <w:ind w:left="426" w:hanging="426"/>
      </w:pPr>
      <w:bookmarkStart w:id="49" w:name="_Toc89270275"/>
      <w:r>
        <w:rPr>
          <w:rFonts w:ascii="Titillium" w:hAnsi="Titillium"/>
          <w:caps w:val="0"/>
          <w:sz w:val="18"/>
          <w:szCs w:val="18"/>
          <w:lang w:val="it-IT"/>
        </w:rPr>
        <w:t>C</w:t>
      </w:r>
      <w:r>
        <w:rPr>
          <w:rFonts w:ascii="Titillium" w:hAnsi="Titillium"/>
          <w:caps w:val="0"/>
          <w:sz w:val="18"/>
          <w:szCs w:val="18"/>
        </w:rPr>
        <w:t>HIARIMENTI</w:t>
      </w:r>
      <w:bookmarkEnd w:id="49"/>
    </w:p>
    <w:p w14:paraId="4825F28F" w14:textId="1402735F" w:rsidR="00F65BE0" w:rsidRPr="00D82F33" w:rsidRDefault="00F65BE0" w:rsidP="00F65BE0">
      <w:pPr>
        <w:spacing w:before="60" w:after="60"/>
        <w:rPr>
          <w:rFonts w:ascii="Titillium" w:hAnsi="Titillium" w:cs="Calibri"/>
          <w:sz w:val="18"/>
          <w:szCs w:val="18"/>
        </w:rPr>
      </w:pPr>
      <w:r w:rsidRPr="00D82F33">
        <w:rPr>
          <w:rFonts w:ascii="Titillium" w:hAnsi="Titillium" w:cs="Calibri"/>
          <w:sz w:val="18"/>
          <w:szCs w:val="18"/>
        </w:rPr>
        <w:t xml:space="preserve">É possibile ottenere chiarimenti sulla presente procedura mediante la proposizione di quesiti scritti </w:t>
      </w:r>
      <w:r w:rsidRPr="00605C1E">
        <w:rPr>
          <w:rFonts w:ascii="Titillium" w:hAnsi="Titillium" w:cs="Calibri"/>
          <w:sz w:val="18"/>
          <w:szCs w:val="18"/>
        </w:rPr>
        <w:t>da inoltrare</w:t>
      </w:r>
      <w:r w:rsidRPr="00605C1E">
        <w:rPr>
          <w:rFonts w:ascii="Titillium" w:hAnsi="Titillium" w:cs="Calibri"/>
          <w:b/>
          <w:bCs/>
          <w:sz w:val="18"/>
          <w:szCs w:val="18"/>
        </w:rPr>
        <w:t xml:space="preserve"> entro le ore </w:t>
      </w:r>
      <w:r w:rsidR="00D43B04">
        <w:rPr>
          <w:rFonts w:ascii="Titillium" w:hAnsi="Titillium" w:cs="Calibri"/>
          <w:b/>
          <w:bCs/>
          <w:sz w:val="18"/>
          <w:szCs w:val="18"/>
        </w:rPr>
        <w:t>…….</w:t>
      </w:r>
      <w:r w:rsidRPr="00605C1E">
        <w:rPr>
          <w:rFonts w:ascii="Titillium" w:hAnsi="Titillium" w:cs="Calibri"/>
          <w:b/>
          <w:bCs/>
          <w:sz w:val="18"/>
          <w:szCs w:val="18"/>
        </w:rPr>
        <w:t xml:space="preserve"> del </w:t>
      </w:r>
      <w:r w:rsidR="00E7333D">
        <w:rPr>
          <w:rFonts w:ascii="Titillium" w:hAnsi="Titillium" w:cs="Calibri"/>
          <w:b/>
          <w:bCs/>
          <w:sz w:val="18"/>
          <w:szCs w:val="18"/>
        </w:rPr>
        <w:t>…/…./</w:t>
      </w:r>
      <w:r w:rsidRPr="00605C1E">
        <w:rPr>
          <w:rFonts w:ascii="Titillium" w:hAnsi="Titillium" w:cs="Calibri"/>
          <w:b/>
          <w:bCs/>
          <w:sz w:val="18"/>
          <w:szCs w:val="18"/>
        </w:rPr>
        <w:t>2026</w:t>
      </w:r>
      <w:r w:rsidRPr="00D82F33">
        <w:rPr>
          <w:rFonts w:ascii="Titillium" w:hAnsi="Titillium" w:cs="Calibri"/>
          <w:sz w:val="18"/>
          <w:szCs w:val="18"/>
        </w:rPr>
        <w:t xml:space="preserve"> attraverso la sezione della PAD riservata alle richieste di chiarimenti, previa registrazione alla PAD stessa.</w:t>
      </w:r>
    </w:p>
    <w:p w14:paraId="72D732D6" w14:textId="77777777" w:rsidR="00F65BE0" w:rsidRPr="00305D5E" w:rsidRDefault="00F65BE0" w:rsidP="00F65BE0">
      <w:pPr>
        <w:spacing w:before="60" w:after="60"/>
        <w:rPr>
          <w:rFonts w:ascii="Titillium" w:hAnsi="Titillium" w:cs="Calibri"/>
          <w:sz w:val="18"/>
          <w:szCs w:val="18"/>
        </w:rPr>
      </w:pPr>
      <w:r w:rsidRPr="00305D5E">
        <w:rPr>
          <w:rFonts w:ascii="Titillium" w:hAnsi="Titillium" w:cs="Calibri"/>
          <w:sz w:val="18"/>
          <w:szCs w:val="18"/>
        </w:rPr>
        <w:t>Le richieste di chiarimenti e le relative risposte sono formulate esclusivamente in lingua italiana.</w:t>
      </w:r>
    </w:p>
    <w:p w14:paraId="43A20D92" w14:textId="77777777" w:rsidR="00D43B04" w:rsidRPr="00305D5E" w:rsidRDefault="00D43B04" w:rsidP="00D43B04">
      <w:pPr>
        <w:spacing w:before="60" w:after="60"/>
        <w:rPr>
          <w:rFonts w:ascii="Titillium" w:hAnsi="Titillium" w:cs="Calibri"/>
          <w:sz w:val="18"/>
          <w:szCs w:val="18"/>
        </w:rPr>
      </w:pPr>
      <w:r w:rsidRPr="00305D5E">
        <w:rPr>
          <w:rFonts w:ascii="Titillium" w:hAnsi="Titillium" w:cs="Calibri"/>
          <w:sz w:val="18"/>
          <w:szCs w:val="18"/>
        </w:rPr>
        <w:t xml:space="preserve">Le risposte alle richieste di chiarimenti presentate in tempo utile sono fornite in formato elettronico </w:t>
      </w:r>
      <w:r w:rsidRPr="000B2BF6">
        <w:rPr>
          <w:rFonts w:ascii="Titillium" w:hAnsi="Titillium" w:cs="Calibri"/>
          <w:b/>
          <w:bCs/>
          <w:sz w:val="18"/>
          <w:szCs w:val="18"/>
        </w:rPr>
        <w:t>entro le ore …….. del ……..,</w:t>
      </w:r>
      <w:r w:rsidRPr="00305D5E">
        <w:rPr>
          <w:rFonts w:ascii="Titillium" w:hAnsi="Titillium" w:cs="Calibri"/>
          <w:sz w:val="18"/>
          <w:szCs w:val="18"/>
        </w:rPr>
        <w:t xml:space="preserve"> mediante pubblicazione delle richieste in forma anonima e delle relative risposte sulla PAD. </w:t>
      </w:r>
    </w:p>
    <w:p w14:paraId="001C90F3" w14:textId="77777777" w:rsidR="00F65BE0" w:rsidRPr="00305D5E" w:rsidRDefault="00F65BE0" w:rsidP="00F65BE0">
      <w:pPr>
        <w:spacing w:before="60" w:after="60"/>
        <w:rPr>
          <w:rFonts w:ascii="Titillium" w:hAnsi="Titillium" w:cs="Calibri"/>
          <w:sz w:val="18"/>
          <w:szCs w:val="18"/>
        </w:rPr>
      </w:pPr>
      <w:r w:rsidRPr="00305D5E">
        <w:rPr>
          <w:rFonts w:ascii="Titillium" w:hAnsi="Titillium" w:cs="Calibri"/>
          <w:sz w:val="18"/>
          <w:szCs w:val="18"/>
        </w:rPr>
        <w:lastRenderedPageBreak/>
        <w:t>Si invitano i concorrenti a visionare costantemente tale sezione della PAD.</w:t>
      </w:r>
    </w:p>
    <w:p w14:paraId="62F16762" w14:textId="77777777" w:rsidR="00F65BE0" w:rsidRPr="00305D5E" w:rsidRDefault="00F65BE0" w:rsidP="00F65BE0">
      <w:pPr>
        <w:spacing w:before="60" w:after="60"/>
        <w:rPr>
          <w:rFonts w:ascii="Titillium" w:hAnsi="Titillium" w:cs="Calibri"/>
          <w:sz w:val="18"/>
          <w:szCs w:val="18"/>
        </w:rPr>
      </w:pPr>
      <w:r w:rsidRPr="00305D5E">
        <w:rPr>
          <w:rFonts w:ascii="Titillium" w:hAnsi="Titillium" w:cs="Calibri"/>
          <w:sz w:val="18"/>
          <w:szCs w:val="18"/>
        </w:rPr>
        <w:t>Non viene fornita risposta alle richieste presentate con modalità diverse da quelle sopra indicate.</w:t>
      </w:r>
    </w:p>
    <w:p w14:paraId="621801C7" w14:textId="77777777" w:rsidR="00F65BE0" w:rsidRPr="00F65BE0" w:rsidRDefault="00F65BE0" w:rsidP="00F65BE0">
      <w:pPr>
        <w:spacing w:before="60" w:after="60"/>
        <w:rPr>
          <w:rFonts w:ascii="Titillium" w:hAnsi="Titillium" w:cs="Calibri"/>
          <w:b/>
          <w:bCs/>
          <w:sz w:val="18"/>
          <w:szCs w:val="18"/>
        </w:rPr>
      </w:pPr>
      <w:r w:rsidRPr="00F65BE0">
        <w:rPr>
          <w:rFonts w:ascii="Titillium" w:hAnsi="Titillium" w:cs="Calibri"/>
          <w:b/>
          <w:bCs/>
          <w:sz w:val="18"/>
          <w:szCs w:val="18"/>
        </w:rPr>
        <w:t>Si precisa che la Stazione Appaltante darà risposta alle richieste di chiarimenti degli operatori economici inerenti alla documentazione di gara</w:t>
      </w:r>
      <w:r w:rsidRPr="00F65BE0">
        <w:rPr>
          <w:rFonts w:ascii="Titillium" w:hAnsi="Titillium" w:cs="Calibri"/>
          <w:b/>
          <w:bCs/>
          <w:sz w:val="18"/>
          <w:szCs w:val="18"/>
          <w:u w:val="single"/>
        </w:rPr>
        <w:t>, ma non a quesiti relativi al possesso dei requisiti di qualificazione necessari per la partecipazione alla gara</w:t>
      </w:r>
      <w:r w:rsidRPr="00F65BE0">
        <w:rPr>
          <w:rFonts w:ascii="Titillium" w:hAnsi="Titillium" w:cs="Calibri"/>
          <w:b/>
          <w:bCs/>
          <w:sz w:val="18"/>
          <w:szCs w:val="18"/>
        </w:rPr>
        <w:t xml:space="preserve">. La verifica circa il possesso dei requisiti di qualificazione, infatti, è rimessa alla esclusiva valutazione del seggio di gara, in seduta pubblica, ai fini dell’abilitazione alla gara di appalto. </w:t>
      </w:r>
    </w:p>
    <w:p w14:paraId="4E091C17" w14:textId="77777777" w:rsidR="00F65BE0" w:rsidRPr="00D82F33" w:rsidRDefault="00F65BE0" w:rsidP="00F65BE0">
      <w:pPr>
        <w:spacing w:before="60" w:after="60"/>
        <w:rPr>
          <w:rFonts w:ascii="Titillium" w:hAnsi="Titillium" w:cs="Calibri"/>
          <w:sz w:val="18"/>
          <w:szCs w:val="18"/>
        </w:rPr>
      </w:pPr>
      <w:r w:rsidRPr="00D82F33">
        <w:rPr>
          <w:rFonts w:ascii="Titillium" w:hAnsi="Titillium" w:cs="Calibri"/>
          <w:sz w:val="18"/>
          <w:szCs w:val="18"/>
        </w:rPr>
        <w:t>La stazione appaltante declina ogni responsabilità per il mancato arrivo nei termini stabiliti. Ai fini del rispetto del termine sopra indicato farà fede il registro di sistema assegnato dal Sistema SATER.</w:t>
      </w:r>
    </w:p>
    <w:p w14:paraId="4E876E4E" w14:textId="77777777" w:rsidR="00F65BE0" w:rsidRPr="00D82F33" w:rsidRDefault="00F65BE0" w:rsidP="00F65BE0">
      <w:pPr>
        <w:spacing w:before="60" w:after="60"/>
        <w:rPr>
          <w:rFonts w:ascii="Titillium" w:hAnsi="Titillium" w:cs="Calibri"/>
          <w:sz w:val="18"/>
          <w:szCs w:val="18"/>
        </w:rPr>
      </w:pPr>
      <w:r w:rsidRPr="00D82F33">
        <w:rPr>
          <w:rFonts w:ascii="Titillium" w:hAnsi="Titillium" w:cs="Calibri"/>
          <w:sz w:val="18"/>
          <w:szCs w:val="18"/>
        </w:rPr>
        <w:t>Si precisa che telefonicamente non saranno fornite risposte a quesiti relativi all’interpretazione della normativa.</w:t>
      </w:r>
    </w:p>
    <w:p w14:paraId="3C9F78E8" w14:textId="77777777" w:rsidR="00F65BE0" w:rsidRPr="00305D5E" w:rsidRDefault="00F65BE0" w:rsidP="00F65BE0">
      <w:pPr>
        <w:spacing w:before="60" w:after="60" w:line="240" w:lineRule="auto"/>
        <w:rPr>
          <w:rFonts w:ascii="Titillium" w:eastAsia="Tahoma" w:hAnsi="Titillium" w:cs="Calibri"/>
          <w:b/>
          <w:bCs/>
          <w:color w:val="98A7BD" w:themeColor="text2" w:themeTint="80"/>
          <w:sz w:val="18"/>
          <w:szCs w:val="18"/>
          <w:lang w:eastAsia="it-IT" w:bidi="it-IT"/>
        </w:rPr>
      </w:pPr>
      <w:r w:rsidRPr="00F65BE0">
        <w:rPr>
          <w:rFonts w:ascii="Titillium" w:eastAsia="Tahoma" w:hAnsi="Titillium" w:cs="Calibri"/>
          <w:b/>
          <w:bCs/>
          <w:color w:val="2E74B5" w:themeColor="accent1" w:themeShade="BF"/>
          <w:sz w:val="18"/>
          <w:szCs w:val="18"/>
          <w:lang w:eastAsia="it-IT" w:bidi="it-IT"/>
        </w:rPr>
        <w:t>Per domande relative all’utilizzo di SATER si invitano gli operatori economici a far riferimento esclusivamente al numero verde 800 810 799</w:t>
      </w:r>
      <w:r w:rsidRPr="00305D5E">
        <w:rPr>
          <w:rFonts w:ascii="Titillium" w:eastAsia="Tahoma" w:hAnsi="Titillium" w:cs="Calibri"/>
          <w:b/>
          <w:bCs/>
          <w:color w:val="98A7BD" w:themeColor="text2" w:themeTint="80"/>
          <w:sz w:val="18"/>
          <w:szCs w:val="18"/>
          <w:lang w:eastAsia="it-IT" w:bidi="it-IT"/>
        </w:rPr>
        <w:t>.</w:t>
      </w:r>
    </w:p>
    <w:p w14:paraId="4CEE3C90" w14:textId="77777777" w:rsidR="00F65BE0" w:rsidRPr="00AF481C" w:rsidRDefault="00F65BE0" w:rsidP="00F65BE0">
      <w:pPr>
        <w:spacing w:before="60" w:after="60"/>
        <w:rPr>
          <w:rFonts w:ascii="Titillium" w:hAnsi="Titillium" w:cs="Calibri"/>
          <w:sz w:val="18"/>
          <w:szCs w:val="18"/>
        </w:rPr>
      </w:pPr>
      <w:r w:rsidRPr="00D82F33">
        <w:rPr>
          <w:rFonts w:ascii="Titillium" w:hAnsi="Titillium" w:cs="Calibri"/>
          <w:sz w:val="18"/>
          <w:szCs w:val="18"/>
        </w:rPr>
        <w:t>Tutte le Comunicazioni tra la SUA e gli operatori economici, ivi incluse le istanze di accesso documentale, si intendono validamente ed efficacemente effettuate qualora rese mediante il SATER, che li notificherà all’indirizzo PEC che il concorrente indicato in fase di registrazione.</w:t>
      </w:r>
    </w:p>
    <w:p w14:paraId="3F97318D" w14:textId="7F57A073" w:rsidR="004C53A8" w:rsidRDefault="004C667D" w:rsidP="008300A5">
      <w:pPr>
        <w:pStyle w:val="Titolo3"/>
        <w:numPr>
          <w:ilvl w:val="1"/>
          <w:numId w:val="3"/>
        </w:numPr>
        <w:ind w:left="426" w:hanging="426"/>
      </w:pPr>
      <w:bookmarkStart w:id="50" w:name="_Ref495492927"/>
      <w:bookmarkStart w:id="51" w:name="_Ref495492879"/>
      <w:bookmarkStart w:id="52" w:name="_Toc89270276"/>
      <w:r>
        <w:rPr>
          <w:rFonts w:ascii="Titillium" w:hAnsi="Titillium"/>
          <w:caps w:val="0"/>
          <w:sz w:val="18"/>
          <w:szCs w:val="18"/>
          <w:lang w:val="it-IT"/>
        </w:rPr>
        <w:t>C</w:t>
      </w:r>
      <w:r>
        <w:rPr>
          <w:rFonts w:ascii="Titillium" w:hAnsi="Titillium"/>
          <w:caps w:val="0"/>
          <w:sz w:val="18"/>
          <w:szCs w:val="18"/>
        </w:rPr>
        <w:t>OMUNICAZIONI</w:t>
      </w:r>
      <w:bookmarkEnd w:id="50"/>
      <w:bookmarkEnd w:id="51"/>
      <w:bookmarkEnd w:id="52"/>
    </w:p>
    <w:p w14:paraId="096773C4" w14:textId="77777777" w:rsidR="001443C2" w:rsidRPr="00AF481C" w:rsidRDefault="001443C2" w:rsidP="001443C2">
      <w:pPr>
        <w:rPr>
          <w:rFonts w:ascii="Titillium" w:hAnsi="Titillium"/>
          <w:sz w:val="18"/>
          <w:szCs w:val="18"/>
        </w:rPr>
      </w:pPr>
      <w:r w:rsidRPr="00AF481C">
        <w:rPr>
          <w:rFonts w:ascii="Titillium" w:hAnsi="Titillium"/>
          <w:sz w:val="18"/>
          <w:szCs w:val="18"/>
        </w:rPr>
        <w:t xml:space="preserve">Tutte le comunicazioni e gli scambi di informazioni tra stazione appaltante e operatori economici sono eseguiti in conformità con quanto disposto dal decreto legislativo n. 82/05, tramite la PAD e, per quanto non previsto dalle stessa piattaforma, mediante utilizzo del domicilio digitale estratto da uno degli indici di cui agli articoli 6-bis, 6-ter, 6-quater, del decreto legislativo n. 82/05 o, per gli operatori economici transfrontalieri, attraverso un indirizzo di servizio elettronico di recapito certificato qualificato ai sensi del Regolamento eIDAS. </w:t>
      </w:r>
    </w:p>
    <w:p w14:paraId="60D0CCF0" w14:textId="77777777" w:rsidR="001443C2" w:rsidRPr="00AF481C" w:rsidRDefault="001443C2" w:rsidP="001443C2">
      <w:r w:rsidRPr="00AF481C">
        <w:rPr>
          <w:rFonts w:ascii="Titillium" w:hAnsi="Titillium"/>
          <w:sz w:val="18"/>
          <w:szCs w:val="18"/>
        </w:rPr>
        <w:t>In caso di malfunzionamento della PAD, la stazione appaltante provvederà all’invio di qualsiasi comunicazione al domicilio digitale presente negli indici di cui ai richiamati articoli 6-bis,6-ter, 6-quater del decreto legislativo n. 82/05.</w:t>
      </w:r>
    </w:p>
    <w:p w14:paraId="45530FDE" w14:textId="77777777" w:rsidR="001443C2" w:rsidRPr="00AF481C" w:rsidRDefault="001443C2" w:rsidP="001443C2">
      <w:pPr>
        <w:spacing w:before="60" w:after="60"/>
      </w:pPr>
      <w:r w:rsidRPr="00AF481C">
        <w:rPr>
          <w:rFonts w:ascii="Titillium" w:hAnsi="Titillium"/>
          <w:sz w:val="18"/>
          <w:szCs w:val="18"/>
        </w:rPr>
        <w:t xml:space="preserve">In caso di raggruppamenti temporanei, GEIE, aggregazioni di rete o consorzi ordinari, anche se non ancora costituiti formalmente, gli operatori economici raggruppati, aggregati o consorziati eleggono domicilio digitale presso il mandatario/capofila al fine della ricezione delle comunicazioni relative alla presente procedura. </w:t>
      </w:r>
    </w:p>
    <w:p w14:paraId="1E949B15" w14:textId="77777777" w:rsidR="001443C2" w:rsidRPr="00AF481C" w:rsidRDefault="001443C2" w:rsidP="001443C2">
      <w:pPr>
        <w:spacing w:before="60" w:after="60"/>
      </w:pPr>
      <w:r w:rsidRPr="00AF481C">
        <w:rPr>
          <w:rFonts w:ascii="Titillium" w:hAnsi="Titillium"/>
          <w:sz w:val="18"/>
          <w:szCs w:val="18"/>
        </w:rPr>
        <w:t>In caso di consorzi di cui all’art. 65 lett. b), c), d) del Codice, la comunicazione recapitata nei modi sopra indicati al consorzio si intende validamente resa a tutte le consorziate.</w:t>
      </w:r>
    </w:p>
    <w:p w14:paraId="004CBD09" w14:textId="77777777" w:rsidR="004C53A8" w:rsidRDefault="00870286" w:rsidP="008300A5">
      <w:pPr>
        <w:pStyle w:val="Titolo2"/>
        <w:numPr>
          <w:ilvl w:val="0"/>
          <w:numId w:val="3"/>
        </w:numPr>
        <w:ind w:left="357" w:hanging="357"/>
      </w:pPr>
      <w:bookmarkStart w:id="53" w:name="_Toc416423353"/>
      <w:bookmarkStart w:id="54" w:name="_Toc406754168"/>
      <w:bookmarkStart w:id="55" w:name="_Toc406058367"/>
      <w:bookmarkStart w:id="56" w:name="_Toc403471261"/>
      <w:bookmarkStart w:id="57" w:name="_Toc397422854"/>
      <w:bookmarkStart w:id="58" w:name="_Toc397346813"/>
      <w:bookmarkStart w:id="59" w:name="_Toc393706898"/>
      <w:bookmarkStart w:id="60" w:name="_Toc393700825"/>
      <w:bookmarkStart w:id="61" w:name="_Toc393283166"/>
      <w:bookmarkStart w:id="62" w:name="_Toc393272650"/>
      <w:bookmarkStart w:id="63" w:name="_Toc393272592"/>
      <w:bookmarkStart w:id="64" w:name="_Toc393187836"/>
      <w:bookmarkStart w:id="65" w:name="_Toc393112119"/>
      <w:bookmarkStart w:id="66" w:name="_Toc393110555"/>
      <w:bookmarkStart w:id="67" w:name="_Toc392577488"/>
      <w:bookmarkStart w:id="68" w:name="_Ref498597801"/>
      <w:bookmarkStart w:id="69" w:name="_Toc89270277"/>
      <w:r>
        <w:rPr>
          <w:rFonts w:ascii="Titillium" w:hAnsi="Titillium"/>
          <w:caps w:val="0"/>
          <w:sz w:val="18"/>
          <w:szCs w:val="18"/>
        </w:rPr>
        <w:t>OGGETTO DELL’APPALTO</w:t>
      </w:r>
      <w:r>
        <w:rPr>
          <w:rFonts w:ascii="Titillium" w:hAnsi="Titillium"/>
          <w:caps w:val="0"/>
          <w:sz w:val="18"/>
          <w:szCs w:val="18"/>
          <w:lang w:val="it-IT"/>
        </w:rPr>
        <w:t>, IMPORTO</w:t>
      </w:r>
      <w:r>
        <w:rPr>
          <w:rFonts w:ascii="Titillium" w:hAnsi="Titillium"/>
          <w:caps w:val="0"/>
          <w:sz w:val="18"/>
          <w:szCs w:val="18"/>
        </w:rPr>
        <w:t xml:space="preserve"> E SUDDIVISIONE IN LOTTI</w:t>
      </w:r>
      <w:bookmarkEnd w:id="14"/>
      <w:bookmarkEnd w:id="15"/>
      <w:bookmarkEnd w:id="16"/>
      <w:bookmarkEnd w:id="17"/>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2E94348B" w14:textId="037F8372" w:rsidR="008156CC" w:rsidRDefault="008156CC" w:rsidP="005E102E">
      <w:pPr>
        <w:spacing w:before="60" w:after="60"/>
        <w:rPr>
          <w:rFonts w:ascii="Titillium" w:hAnsi="Titillium" w:cs="Calibri"/>
          <w:sz w:val="18"/>
          <w:szCs w:val="18"/>
        </w:rPr>
      </w:pPr>
      <w:bookmarkStart w:id="70" w:name="_Hlk107405137"/>
      <w:r w:rsidRPr="008156CC">
        <w:rPr>
          <w:rFonts w:ascii="Titillium" w:hAnsi="Titillium" w:cs="Calibri"/>
          <w:sz w:val="18"/>
          <w:szCs w:val="18"/>
        </w:rPr>
        <w:t>L’appalto è costituito da un unico lotto in quanto trattasi di un complesso di prestazioni costituenti un unicum funzionale, la cui corretta esecuzione ne rende opportuna la gestione unitaria e organica, a cura del medesimo operatore. Il presente appalto resta comunque accessibile alle piccole e medie imprese attraverso la possibilità di partecipazione plurisoggettiva secondo gli istituti di legge previsti dal Codice.</w:t>
      </w:r>
    </w:p>
    <w:p w14:paraId="7E7E3D3B" w14:textId="7A7738CA" w:rsidR="005E102E" w:rsidRDefault="005E102E" w:rsidP="005E102E">
      <w:pPr>
        <w:spacing w:before="60" w:after="60"/>
        <w:rPr>
          <w:rFonts w:ascii="Titillium" w:hAnsi="Titillium" w:cs="Calibri"/>
          <w:sz w:val="18"/>
          <w:szCs w:val="18"/>
        </w:rPr>
      </w:pPr>
      <w:r w:rsidRPr="005E102E">
        <w:rPr>
          <w:rFonts w:ascii="Titillium" w:hAnsi="Titillium" w:cs="Calibri"/>
          <w:sz w:val="18"/>
          <w:szCs w:val="18"/>
        </w:rPr>
        <w:t>L'appalto ha per oggetto l</w:t>
      </w:r>
      <w:r w:rsidR="008156CC">
        <w:rPr>
          <w:rFonts w:ascii="Titillium" w:hAnsi="Titillium" w:cs="Calibri"/>
          <w:sz w:val="18"/>
          <w:szCs w:val="18"/>
        </w:rPr>
        <w:t xml:space="preserve">’affidamento </w:t>
      </w:r>
      <w:r w:rsidRPr="005E102E">
        <w:rPr>
          <w:rFonts w:ascii="Titillium" w:hAnsi="Titillium" w:cs="Calibri"/>
          <w:sz w:val="18"/>
          <w:szCs w:val="18"/>
        </w:rPr>
        <w:t xml:space="preserve">del </w:t>
      </w:r>
      <w:r w:rsidR="008156CC">
        <w:rPr>
          <w:rFonts w:ascii="Titillium" w:hAnsi="Titillium" w:cs="Calibri"/>
          <w:sz w:val="18"/>
          <w:szCs w:val="18"/>
        </w:rPr>
        <w:t>s</w:t>
      </w:r>
      <w:r w:rsidRPr="005E102E">
        <w:rPr>
          <w:rFonts w:ascii="Titillium" w:hAnsi="Titillium" w:cs="Calibri"/>
          <w:sz w:val="18"/>
          <w:szCs w:val="18"/>
        </w:rPr>
        <w:t>ervizio di “GESTIONE E MANUTENZIONE DEGLI IMPIANTI SPORTIVI CALCISTICI DI PROPRIETA’ DEL COMUNE DI CASTEL SAN GIOVANNI DENOMINATI “CENTRO SPORTIVO P. SORESSI” E “CAMPO FRAZIONALE DI FONTANA PRADOSA” il periodo dal 01.01.2027 al 30.06.2030.</w:t>
      </w:r>
    </w:p>
    <w:p w14:paraId="7240BC07" w14:textId="68054495" w:rsidR="008C7CB1" w:rsidRDefault="008C7CB1" w:rsidP="005E102E">
      <w:pPr>
        <w:spacing w:before="60" w:after="60"/>
        <w:rPr>
          <w:rFonts w:ascii="Titillium" w:hAnsi="Titillium" w:cs="Calibri"/>
          <w:iCs/>
          <w:sz w:val="18"/>
          <w:szCs w:val="18"/>
        </w:rPr>
      </w:pPr>
      <w:r w:rsidRPr="002659BF">
        <w:rPr>
          <w:rFonts w:ascii="Titillium" w:hAnsi="Titillium" w:cs="Calibri"/>
          <w:iCs/>
          <w:sz w:val="18"/>
          <w:szCs w:val="18"/>
          <w:u w:val="single"/>
        </w:rPr>
        <w:t>Per i dettagli si rimanda al capitolato speciale d’appalto</w:t>
      </w:r>
      <w:r w:rsidRPr="002659BF">
        <w:rPr>
          <w:rFonts w:ascii="Titillium" w:hAnsi="Titillium" w:cs="Calibri"/>
          <w:iCs/>
          <w:sz w:val="18"/>
          <w:szCs w:val="18"/>
        </w:rPr>
        <w:t>.</w:t>
      </w:r>
    </w:p>
    <w:p w14:paraId="560F69C4" w14:textId="5A7772F6" w:rsidR="003201ED" w:rsidRPr="007E082B" w:rsidRDefault="008C7CB1" w:rsidP="003201ED">
      <w:pPr>
        <w:spacing w:before="60" w:after="60"/>
        <w:rPr>
          <w:rFonts w:ascii="Titillium" w:hAnsi="Titillium" w:cs="Calibri"/>
          <w:iCs/>
          <w:sz w:val="18"/>
          <w:szCs w:val="18"/>
        </w:rPr>
      </w:pPr>
      <w:r w:rsidRPr="00E47351">
        <w:rPr>
          <w:rFonts w:ascii="Titillium" w:hAnsi="Titillium" w:cs="Calibri"/>
          <w:iCs/>
          <w:sz w:val="18"/>
          <w:szCs w:val="18"/>
        </w:rPr>
        <w:t xml:space="preserve">L’importo </w:t>
      </w:r>
      <w:r w:rsidR="00A52E9C">
        <w:rPr>
          <w:rFonts w:ascii="Titillium" w:hAnsi="Titillium" w:cs="Calibri"/>
          <w:iCs/>
          <w:sz w:val="18"/>
          <w:szCs w:val="18"/>
        </w:rPr>
        <w:t>posto</w:t>
      </w:r>
      <w:r w:rsidRPr="00E47351">
        <w:rPr>
          <w:rFonts w:ascii="Titillium" w:hAnsi="Titillium" w:cs="Calibri"/>
          <w:iCs/>
          <w:sz w:val="18"/>
          <w:szCs w:val="18"/>
        </w:rPr>
        <w:t xml:space="preserve"> a base di gara</w:t>
      </w:r>
      <w:r w:rsidR="00A52E9C">
        <w:rPr>
          <w:rFonts w:ascii="Titillium" w:hAnsi="Titillium" w:cs="Calibri"/>
          <w:iCs/>
          <w:sz w:val="18"/>
          <w:szCs w:val="18"/>
        </w:rPr>
        <w:t xml:space="preserve">, </w:t>
      </w:r>
      <w:r w:rsidR="00A52E9C" w:rsidRPr="00A52E9C">
        <w:rPr>
          <w:rFonts w:ascii="Titillium" w:hAnsi="Titillium" w:cs="Calibri"/>
          <w:b/>
          <w:bCs/>
          <w:iCs/>
          <w:sz w:val="18"/>
          <w:szCs w:val="18"/>
        </w:rPr>
        <w:t>soggetto a ribasso</w:t>
      </w:r>
      <w:r w:rsidR="00A52E9C">
        <w:rPr>
          <w:rFonts w:ascii="Titillium" w:hAnsi="Titillium" w:cs="Calibri"/>
          <w:iCs/>
          <w:sz w:val="18"/>
          <w:szCs w:val="18"/>
        </w:rPr>
        <w:t>,</w:t>
      </w:r>
      <w:r w:rsidR="003201ED" w:rsidRPr="00E47351">
        <w:rPr>
          <w:rFonts w:ascii="Titillium" w:hAnsi="Titillium" w:cs="Calibri"/>
          <w:iCs/>
          <w:sz w:val="18"/>
          <w:szCs w:val="18"/>
        </w:rPr>
        <w:t xml:space="preserve"> è pari a </w:t>
      </w:r>
      <w:r w:rsidR="0097546F" w:rsidRPr="00E47351">
        <w:rPr>
          <w:rFonts w:ascii="Titillium" w:hAnsi="Titillium" w:cs="Calibri"/>
          <w:b/>
          <w:bCs/>
          <w:iCs/>
          <w:sz w:val="18"/>
          <w:szCs w:val="18"/>
        </w:rPr>
        <w:t xml:space="preserve">€ </w:t>
      </w:r>
      <w:r w:rsidR="00E47351" w:rsidRPr="00E47351">
        <w:rPr>
          <w:rFonts w:ascii="Titillium" w:hAnsi="Titillium" w:cs="Calibri"/>
          <w:b/>
          <w:bCs/>
          <w:iCs/>
          <w:sz w:val="18"/>
          <w:szCs w:val="18"/>
        </w:rPr>
        <w:t>210</w:t>
      </w:r>
      <w:r w:rsidR="007C15F8" w:rsidRPr="00E47351">
        <w:rPr>
          <w:rFonts w:ascii="Titillium" w:hAnsi="Titillium" w:cs="Calibri"/>
          <w:b/>
          <w:bCs/>
          <w:iCs/>
          <w:sz w:val="18"/>
          <w:szCs w:val="18"/>
        </w:rPr>
        <w:t>.</w:t>
      </w:r>
      <w:r w:rsidR="00E47351" w:rsidRPr="00E47351">
        <w:rPr>
          <w:rFonts w:ascii="Titillium" w:hAnsi="Titillium" w:cs="Calibri"/>
          <w:b/>
          <w:bCs/>
          <w:iCs/>
          <w:sz w:val="18"/>
          <w:szCs w:val="18"/>
        </w:rPr>
        <w:t>000</w:t>
      </w:r>
      <w:r w:rsidR="007C15F8" w:rsidRPr="00E47351">
        <w:rPr>
          <w:rFonts w:ascii="Titillium" w:hAnsi="Titillium" w:cs="Calibri"/>
          <w:b/>
          <w:bCs/>
          <w:iCs/>
          <w:sz w:val="18"/>
          <w:szCs w:val="18"/>
        </w:rPr>
        <w:t>,00</w:t>
      </w:r>
      <w:r w:rsidR="007C15F8" w:rsidRPr="00E47351">
        <w:rPr>
          <w:rFonts w:ascii="Titillium" w:hAnsi="Titillium" w:cs="Calibri"/>
          <w:iCs/>
          <w:sz w:val="18"/>
          <w:szCs w:val="18"/>
        </w:rPr>
        <w:t xml:space="preserve"> </w:t>
      </w:r>
      <w:r w:rsidR="003201ED" w:rsidRPr="00E47351">
        <w:rPr>
          <w:rFonts w:ascii="Titillium" w:hAnsi="Titillium" w:cs="Calibri"/>
          <w:iCs/>
          <w:sz w:val="18"/>
          <w:szCs w:val="18"/>
        </w:rPr>
        <w:t>(Iva esclusa),</w:t>
      </w:r>
      <w:r w:rsidR="000E7211" w:rsidRPr="00E47351">
        <w:rPr>
          <w:rFonts w:ascii="Titillium" w:hAnsi="Titillium" w:cs="Calibri"/>
          <w:iCs/>
          <w:sz w:val="18"/>
          <w:szCs w:val="18"/>
        </w:rPr>
        <w:t xml:space="preserve"> </w:t>
      </w:r>
      <w:r w:rsidR="0027796D" w:rsidRPr="00E47351">
        <w:rPr>
          <w:rFonts w:ascii="Titillium" w:hAnsi="Titillium" w:cs="Calibri"/>
          <w:iCs/>
          <w:sz w:val="18"/>
          <w:szCs w:val="18"/>
        </w:rPr>
        <w:t>di cui € 0,00 per oneri da rischi interferenziali non soggetti a ribasso</w:t>
      </w:r>
      <w:r w:rsidR="003201ED" w:rsidRPr="00E47351">
        <w:rPr>
          <w:rFonts w:ascii="Titillium" w:hAnsi="Titillium" w:cs="Calibri"/>
          <w:iCs/>
          <w:sz w:val="18"/>
          <w:szCs w:val="18"/>
        </w:rPr>
        <w:t xml:space="preserve">, </w:t>
      </w:r>
      <w:r w:rsidR="00E21EC7" w:rsidRPr="00E47351">
        <w:rPr>
          <w:rFonts w:ascii="Titillium" w:hAnsi="Titillium" w:cs="Calibri"/>
          <w:iCs/>
          <w:sz w:val="18"/>
          <w:szCs w:val="18"/>
        </w:rPr>
        <w:t>p</w:t>
      </w:r>
      <w:r w:rsidR="003201ED" w:rsidRPr="00E47351">
        <w:rPr>
          <w:rFonts w:ascii="Titillium" w:hAnsi="Titillium" w:cs="Calibri"/>
          <w:iCs/>
          <w:sz w:val="18"/>
          <w:szCs w:val="18"/>
        </w:rPr>
        <w:t>er la durata</w:t>
      </w:r>
      <w:r w:rsidR="00EC32AF">
        <w:rPr>
          <w:rFonts w:ascii="Titillium" w:hAnsi="Titillium" w:cs="Calibri"/>
          <w:iCs/>
          <w:sz w:val="18"/>
          <w:szCs w:val="18"/>
        </w:rPr>
        <w:t xml:space="preserve"> ordinaria dell’appalto</w:t>
      </w:r>
      <w:r w:rsidR="00B41273" w:rsidRPr="007E082B">
        <w:rPr>
          <w:rFonts w:ascii="Titillium" w:hAnsi="Titillium" w:cs="Calibri"/>
          <w:iCs/>
          <w:sz w:val="18"/>
          <w:szCs w:val="18"/>
        </w:rPr>
        <w:t>.</w:t>
      </w:r>
    </w:p>
    <w:p w14:paraId="32D7E2CF" w14:textId="6E06FD4D" w:rsidR="003875A8" w:rsidRPr="003875A8" w:rsidRDefault="00BC1A1C" w:rsidP="003875A8">
      <w:pPr>
        <w:spacing w:before="60" w:after="60"/>
        <w:rPr>
          <w:rFonts w:ascii="Titillium" w:hAnsi="Titillium" w:cs="Calibri"/>
          <w:iCs/>
          <w:sz w:val="18"/>
          <w:szCs w:val="18"/>
        </w:rPr>
      </w:pPr>
      <w:r w:rsidRPr="003875A8">
        <w:rPr>
          <w:rFonts w:ascii="Titillium" w:hAnsi="Titillium" w:cs="Calibri"/>
          <w:iCs/>
          <w:sz w:val="18"/>
          <w:szCs w:val="18"/>
        </w:rPr>
        <w:t>L</w:t>
      </w:r>
      <w:r w:rsidR="00946AA9">
        <w:rPr>
          <w:rFonts w:ascii="Titillium" w:hAnsi="Titillium" w:cs="Calibri"/>
          <w:iCs/>
          <w:sz w:val="18"/>
          <w:szCs w:val="18"/>
        </w:rPr>
        <w:t>e</w:t>
      </w:r>
      <w:r w:rsidRPr="003875A8">
        <w:rPr>
          <w:rFonts w:ascii="Titillium" w:hAnsi="Titillium" w:cs="Calibri"/>
          <w:iCs/>
          <w:sz w:val="18"/>
          <w:szCs w:val="18"/>
        </w:rPr>
        <w:t xml:space="preserve"> prestazion</w:t>
      </w:r>
      <w:r w:rsidR="00946AA9">
        <w:rPr>
          <w:rFonts w:ascii="Titillium" w:hAnsi="Titillium" w:cs="Calibri"/>
          <w:iCs/>
          <w:sz w:val="18"/>
          <w:szCs w:val="18"/>
        </w:rPr>
        <w:t>i</w:t>
      </w:r>
      <w:r w:rsidR="003875A8" w:rsidRPr="003875A8">
        <w:rPr>
          <w:rFonts w:ascii="Titillium" w:hAnsi="Titillium" w:cs="Calibri"/>
          <w:iCs/>
          <w:sz w:val="18"/>
          <w:szCs w:val="18"/>
        </w:rPr>
        <w:t xml:space="preserve"> oggetto del</w:t>
      </w:r>
      <w:r w:rsidR="00043D99">
        <w:rPr>
          <w:rFonts w:ascii="Titillium" w:hAnsi="Titillium" w:cs="Calibri"/>
          <w:iCs/>
          <w:sz w:val="18"/>
          <w:szCs w:val="18"/>
        </w:rPr>
        <w:t>l’appalto</w:t>
      </w:r>
      <w:r w:rsidR="003875A8" w:rsidRPr="003875A8">
        <w:rPr>
          <w:rFonts w:ascii="Titillium" w:hAnsi="Titillium" w:cs="Calibri"/>
          <w:iCs/>
          <w:sz w:val="18"/>
          <w:szCs w:val="18"/>
        </w:rPr>
        <w:t xml:space="preserve"> sono individuate come segue:</w:t>
      </w:r>
    </w:p>
    <w:tbl>
      <w:tblPr>
        <w:tblW w:w="9453" w:type="dxa"/>
        <w:tblInd w:w="-108" w:type="dxa"/>
        <w:tblLook w:val="04A0" w:firstRow="1" w:lastRow="0" w:firstColumn="1" w:lastColumn="0" w:noHBand="0" w:noVBand="1"/>
      </w:tblPr>
      <w:tblGrid>
        <w:gridCol w:w="417"/>
        <w:gridCol w:w="3807"/>
        <w:gridCol w:w="2116"/>
        <w:gridCol w:w="1418"/>
        <w:gridCol w:w="1695"/>
      </w:tblGrid>
      <w:tr w:rsidR="00365054" w:rsidRPr="00365054" w14:paraId="04E5F7D6" w14:textId="77777777" w:rsidTr="552DAF46">
        <w:tc>
          <w:tcPr>
            <w:tcW w:w="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bookmarkEnd w:id="70"/>
          <w:p w14:paraId="7CC9D5D6" w14:textId="77777777" w:rsidR="00365054" w:rsidRPr="00365054" w:rsidRDefault="00365054" w:rsidP="00365054">
            <w:pPr>
              <w:spacing w:before="60" w:after="60"/>
              <w:rPr>
                <w:rFonts w:ascii="Titillium" w:hAnsi="Titillium" w:cs="Calibri"/>
                <w:sz w:val="18"/>
                <w:szCs w:val="18"/>
              </w:rPr>
            </w:pPr>
            <w:r w:rsidRPr="00365054">
              <w:rPr>
                <w:rFonts w:ascii="Titillium" w:hAnsi="Titillium" w:cs="Calibri"/>
                <w:sz w:val="18"/>
                <w:szCs w:val="18"/>
              </w:rPr>
              <w:t>n.</w:t>
            </w:r>
          </w:p>
        </w:tc>
        <w:tc>
          <w:tcPr>
            <w:tcW w:w="38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1D6215" w14:textId="77777777" w:rsidR="00365054" w:rsidRPr="00365054" w:rsidRDefault="00365054" w:rsidP="00365054">
            <w:pPr>
              <w:spacing w:before="60" w:after="60"/>
              <w:rPr>
                <w:rFonts w:ascii="Titillium" w:hAnsi="Titillium" w:cs="Calibri"/>
                <w:sz w:val="18"/>
                <w:szCs w:val="18"/>
              </w:rPr>
            </w:pPr>
            <w:r w:rsidRPr="00365054">
              <w:rPr>
                <w:rFonts w:ascii="Titillium" w:hAnsi="Titillium" w:cs="Calibri"/>
                <w:sz w:val="18"/>
                <w:szCs w:val="18"/>
              </w:rPr>
              <w:t>Descrizione servizi</w:t>
            </w:r>
          </w:p>
        </w:tc>
        <w:tc>
          <w:tcPr>
            <w:tcW w:w="2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48BCD6" w14:textId="77777777" w:rsidR="00365054" w:rsidRPr="00365054" w:rsidRDefault="00365054" w:rsidP="00365054">
            <w:pPr>
              <w:spacing w:before="60" w:after="60"/>
              <w:rPr>
                <w:rFonts w:ascii="Titillium" w:hAnsi="Titillium" w:cs="Calibri"/>
                <w:sz w:val="18"/>
                <w:szCs w:val="18"/>
              </w:rPr>
            </w:pPr>
            <w:r w:rsidRPr="00365054">
              <w:rPr>
                <w:rFonts w:ascii="Titillium" w:hAnsi="Titillium" w:cs="Calibri"/>
                <w:sz w:val="18"/>
                <w:szCs w:val="18"/>
              </w:rPr>
              <w:t>CPV</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1812539" w14:textId="77777777" w:rsidR="00365054" w:rsidRPr="00365054" w:rsidRDefault="00365054" w:rsidP="00365054">
            <w:pPr>
              <w:spacing w:before="60" w:after="60"/>
              <w:rPr>
                <w:rFonts w:ascii="Titillium" w:hAnsi="Titillium" w:cs="Calibri"/>
                <w:sz w:val="18"/>
                <w:szCs w:val="18"/>
              </w:rPr>
            </w:pPr>
            <w:r w:rsidRPr="00365054">
              <w:rPr>
                <w:rFonts w:ascii="Titillium" w:hAnsi="Titillium" w:cs="Calibri"/>
                <w:sz w:val="18"/>
                <w:szCs w:val="18"/>
              </w:rPr>
              <w:t>P (principale)</w:t>
            </w:r>
          </w:p>
          <w:p w14:paraId="627DE07C" w14:textId="77777777" w:rsidR="00365054" w:rsidRPr="00365054" w:rsidRDefault="00365054" w:rsidP="00365054">
            <w:pPr>
              <w:spacing w:before="60" w:after="60"/>
              <w:rPr>
                <w:rFonts w:ascii="Titillium" w:hAnsi="Titillium" w:cs="Calibri"/>
                <w:sz w:val="18"/>
                <w:szCs w:val="18"/>
              </w:rPr>
            </w:pPr>
            <w:r w:rsidRPr="00365054">
              <w:rPr>
                <w:rFonts w:ascii="Titillium" w:hAnsi="Titillium" w:cs="Calibri"/>
                <w:sz w:val="18"/>
                <w:szCs w:val="18"/>
              </w:rPr>
              <w:t>S (secondaria)</w:t>
            </w:r>
          </w:p>
        </w:tc>
        <w:tc>
          <w:tcPr>
            <w:tcW w:w="1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219DAA7" w14:textId="77777777" w:rsidR="00365054" w:rsidRPr="00365054" w:rsidRDefault="00365054" w:rsidP="00365054">
            <w:pPr>
              <w:spacing w:before="60" w:after="60"/>
              <w:rPr>
                <w:rFonts w:ascii="Titillium" w:hAnsi="Titillium" w:cs="Calibri"/>
                <w:sz w:val="18"/>
                <w:szCs w:val="18"/>
              </w:rPr>
            </w:pPr>
            <w:r w:rsidRPr="00365054">
              <w:rPr>
                <w:rFonts w:ascii="Titillium" w:hAnsi="Titillium" w:cs="Calibri"/>
                <w:sz w:val="18"/>
                <w:szCs w:val="18"/>
              </w:rPr>
              <w:t>Importo</w:t>
            </w:r>
          </w:p>
        </w:tc>
      </w:tr>
      <w:tr w:rsidR="009C44A9" w:rsidRPr="00365054" w14:paraId="71A8D85B" w14:textId="77777777" w:rsidTr="006E6399">
        <w:trPr>
          <w:trHeight w:val="694"/>
        </w:trPr>
        <w:tc>
          <w:tcPr>
            <w:tcW w:w="417" w:type="dxa"/>
            <w:tcBorders>
              <w:top w:val="single" w:sz="4" w:space="0" w:color="000000" w:themeColor="text1"/>
              <w:left w:val="single" w:sz="4" w:space="0" w:color="000000" w:themeColor="text1"/>
              <w:right w:val="single" w:sz="4" w:space="0" w:color="000000" w:themeColor="text1"/>
            </w:tcBorders>
            <w:vAlign w:val="center"/>
          </w:tcPr>
          <w:p w14:paraId="70279FF4" w14:textId="115DE5CA" w:rsidR="009C44A9" w:rsidRPr="00365054" w:rsidRDefault="009C44A9" w:rsidP="009C44A9">
            <w:pPr>
              <w:spacing w:before="60" w:after="60"/>
              <w:rPr>
                <w:rFonts w:ascii="Titillium" w:hAnsi="Titillium" w:cs="Calibri"/>
                <w:sz w:val="18"/>
                <w:szCs w:val="18"/>
              </w:rPr>
            </w:pPr>
            <w:r w:rsidRPr="00365054">
              <w:rPr>
                <w:rFonts w:ascii="Titillium" w:hAnsi="Titillium" w:cs="Calibri"/>
                <w:sz w:val="18"/>
                <w:szCs w:val="18"/>
              </w:rPr>
              <w:t>1</w:t>
            </w:r>
          </w:p>
        </w:tc>
        <w:tc>
          <w:tcPr>
            <w:tcW w:w="3807" w:type="dxa"/>
            <w:tcBorders>
              <w:top w:val="single" w:sz="4" w:space="0" w:color="auto"/>
              <w:left w:val="single" w:sz="4" w:space="0" w:color="auto"/>
              <w:bottom w:val="single" w:sz="4" w:space="0" w:color="auto"/>
              <w:right w:val="single" w:sz="4" w:space="0" w:color="auto"/>
            </w:tcBorders>
            <w:vAlign w:val="center"/>
          </w:tcPr>
          <w:p w14:paraId="3B303978" w14:textId="6542EE60" w:rsidR="009C44A9" w:rsidRPr="009C44A9" w:rsidRDefault="009C44A9" w:rsidP="009C44A9">
            <w:pPr>
              <w:spacing w:before="60" w:after="60"/>
              <w:rPr>
                <w:rFonts w:ascii="Titillium" w:hAnsi="Titillium" w:cs="Calibri"/>
                <w:b/>
                <w:sz w:val="18"/>
                <w:szCs w:val="18"/>
              </w:rPr>
            </w:pPr>
            <w:r w:rsidRPr="009C44A9">
              <w:rPr>
                <w:rFonts w:ascii="Titillium" w:hAnsi="Titillium" w:cs="Calibri"/>
                <w:b/>
                <w:sz w:val="18"/>
                <w:szCs w:val="18"/>
              </w:rPr>
              <w:t>Servizi di gestione impianti sportivi</w:t>
            </w:r>
          </w:p>
        </w:tc>
        <w:tc>
          <w:tcPr>
            <w:tcW w:w="2116" w:type="dxa"/>
            <w:tcBorders>
              <w:top w:val="single" w:sz="4" w:space="0" w:color="auto"/>
              <w:left w:val="single" w:sz="4" w:space="0" w:color="auto"/>
              <w:bottom w:val="single" w:sz="4" w:space="0" w:color="auto"/>
              <w:right w:val="single" w:sz="4" w:space="0" w:color="auto"/>
            </w:tcBorders>
            <w:vAlign w:val="center"/>
          </w:tcPr>
          <w:p w14:paraId="441984BD" w14:textId="49EEA9D1" w:rsidR="009C44A9" w:rsidRPr="009C44A9" w:rsidRDefault="009C44A9" w:rsidP="009C44A9">
            <w:pPr>
              <w:spacing w:before="60" w:after="60"/>
              <w:ind w:left="360"/>
              <w:rPr>
                <w:rFonts w:ascii="Titillium" w:hAnsi="Titillium" w:cs="Calibri"/>
                <w:b/>
                <w:sz w:val="18"/>
                <w:szCs w:val="18"/>
              </w:rPr>
            </w:pPr>
            <w:r w:rsidRPr="009C44A9">
              <w:rPr>
                <w:rFonts w:ascii="Titillium" w:hAnsi="Titillium" w:cs="Calibri"/>
                <w:b/>
                <w:sz w:val="18"/>
                <w:szCs w:val="18"/>
              </w:rPr>
              <w:t>92610000-0</w:t>
            </w:r>
          </w:p>
        </w:tc>
        <w:tc>
          <w:tcPr>
            <w:tcW w:w="1418" w:type="dxa"/>
            <w:tcBorders>
              <w:top w:val="single" w:sz="4" w:space="0" w:color="000000" w:themeColor="text1"/>
              <w:left w:val="single" w:sz="4" w:space="0" w:color="000000" w:themeColor="text1"/>
              <w:right w:val="single" w:sz="4" w:space="0" w:color="000000" w:themeColor="text1"/>
            </w:tcBorders>
            <w:vAlign w:val="center"/>
          </w:tcPr>
          <w:p w14:paraId="4B8564D2" w14:textId="77777777" w:rsidR="009C44A9" w:rsidRDefault="009C44A9" w:rsidP="009C44A9">
            <w:pPr>
              <w:spacing w:before="60" w:after="60"/>
              <w:jc w:val="center"/>
              <w:rPr>
                <w:rFonts w:ascii="Titillium" w:hAnsi="Titillium" w:cs="Calibri"/>
                <w:sz w:val="18"/>
                <w:szCs w:val="18"/>
              </w:rPr>
            </w:pPr>
          </w:p>
          <w:p w14:paraId="6304A484" w14:textId="6B37820F" w:rsidR="009C44A9" w:rsidRPr="00365054" w:rsidRDefault="009C44A9" w:rsidP="009C44A9">
            <w:pPr>
              <w:spacing w:before="60" w:after="60"/>
              <w:jc w:val="center"/>
              <w:rPr>
                <w:rFonts w:ascii="Titillium" w:hAnsi="Titillium" w:cs="Calibri"/>
                <w:sz w:val="18"/>
                <w:szCs w:val="18"/>
              </w:rPr>
            </w:pPr>
            <w:r>
              <w:rPr>
                <w:rFonts w:ascii="Titillium" w:hAnsi="Titillium" w:cs="Calibri"/>
                <w:sz w:val="18"/>
                <w:szCs w:val="18"/>
              </w:rPr>
              <w:t>P</w:t>
            </w:r>
          </w:p>
          <w:p w14:paraId="22061FD4" w14:textId="497371C9" w:rsidR="009C44A9" w:rsidRPr="00365054" w:rsidRDefault="009C44A9" w:rsidP="009C44A9">
            <w:pPr>
              <w:spacing w:before="60" w:after="60"/>
              <w:rPr>
                <w:rFonts w:ascii="Titillium" w:hAnsi="Titillium" w:cs="Calibri"/>
                <w:sz w:val="18"/>
                <w:szCs w:val="18"/>
              </w:rPr>
            </w:pPr>
          </w:p>
        </w:tc>
        <w:tc>
          <w:tcPr>
            <w:tcW w:w="1695" w:type="dxa"/>
            <w:tcBorders>
              <w:top w:val="single" w:sz="4" w:space="0" w:color="000000" w:themeColor="text1"/>
              <w:left w:val="single" w:sz="4" w:space="0" w:color="000000" w:themeColor="text1"/>
              <w:right w:val="single" w:sz="4" w:space="0" w:color="000000" w:themeColor="text1"/>
            </w:tcBorders>
            <w:vAlign w:val="center"/>
          </w:tcPr>
          <w:p w14:paraId="5FFFC156" w14:textId="079E308B" w:rsidR="009C44A9" w:rsidRPr="00EB3164" w:rsidRDefault="009C44A9" w:rsidP="00E82468">
            <w:pPr>
              <w:spacing w:before="60" w:after="60"/>
              <w:jc w:val="right"/>
              <w:rPr>
                <w:rFonts w:ascii="Titillium" w:hAnsi="Titillium" w:cs="Calibri"/>
                <w:b/>
                <w:sz w:val="18"/>
                <w:szCs w:val="18"/>
              </w:rPr>
            </w:pPr>
            <w:r w:rsidRPr="00573E44">
              <w:rPr>
                <w:rFonts w:ascii="Titillium" w:hAnsi="Titillium" w:cs="Calibri"/>
                <w:b/>
                <w:sz w:val="18"/>
                <w:szCs w:val="18"/>
              </w:rPr>
              <w:t>€</w:t>
            </w:r>
            <w:r w:rsidRPr="00573E44">
              <w:rPr>
                <w:rFonts w:ascii="Titillium" w:hAnsi="Titillium" w:cs="Calibri"/>
                <w:b/>
                <w:bCs/>
                <w:iCs/>
                <w:sz w:val="18"/>
                <w:szCs w:val="18"/>
              </w:rPr>
              <w:t xml:space="preserve"> </w:t>
            </w:r>
            <w:r>
              <w:rPr>
                <w:rFonts w:ascii="Titillium" w:hAnsi="Titillium" w:cs="Calibri"/>
                <w:b/>
                <w:bCs/>
                <w:iCs/>
                <w:sz w:val="18"/>
                <w:szCs w:val="18"/>
              </w:rPr>
              <w:t>210</w:t>
            </w:r>
            <w:r w:rsidRPr="00D7284B">
              <w:rPr>
                <w:rFonts w:ascii="Titillium" w:hAnsi="Titillium" w:cs="Calibri"/>
                <w:b/>
                <w:bCs/>
                <w:iCs/>
                <w:sz w:val="18"/>
                <w:szCs w:val="18"/>
              </w:rPr>
              <w:t>.</w:t>
            </w:r>
            <w:r>
              <w:rPr>
                <w:rFonts w:ascii="Titillium" w:hAnsi="Titillium" w:cs="Calibri"/>
                <w:b/>
                <w:bCs/>
                <w:iCs/>
                <w:sz w:val="18"/>
                <w:szCs w:val="18"/>
              </w:rPr>
              <w:t>000</w:t>
            </w:r>
            <w:r w:rsidRPr="00D7284B">
              <w:rPr>
                <w:rFonts w:ascii="Titillium" w:hAnsi="Titillium" w:cs="Calibri"/>
                <w:b/>
                <w:bCs/>
                <w:iCs/>
                <w:sz w:val="18"/>
                <w:szCs w:val="18"/>
              </w:rPr>
              <w:t>,00</w:t>
            </w:r>
          </w:p>
        </w:tc>
      </w:tr>
      <w:tr w:rsidR="00365054" w:rsidRPr="00365054" w14:paraId="6850914A" w14:textId="77777777" w:rsidTr="552DAF46">
        <w:tc>
          <w:tcPr>
            <w:tcW w:w="775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810C46" w14:textId="77777777" w:rsidR="00365054" w:rsidRPr="00365054" w:rsidRDefault="00365054" w:rsidP="005D67CA">
            <w:pPr>
              <w:numPr>
                <w:ilvl w:val="0"/>
                <w:numId w:val="22"/>
              </w:numPr>
              <w:spacing w:before="60" w:after="60"/>
              <w:rPr>
                <w:rFonts w:ascii="Titillium" w:hAnsi="Titillium" w:cs="Calibri"/>
                <w:b/>
                <w:sz w:val="18"/>
                <w:szCs w:val="18"/>
              </w:rPr>
            </w:pPr>
            <w:r w:rsidRPr="00365054">
              <w:rPr>
                <w:rFonts w:ascii="Titillium" w:hAnsi="Titillium" w:cs="Calibri"/>
                <w:b/>
                <w:sz w:val="18"/>
                <w:szCs w:val="18"/>
              </w:rPr>
              <w:lastRenderedPageBreak/>
              <w:t>Importo totale soggetto a ribasso</w:t>
            </w:r>
          </w:p>
        </w:tc>
        <w:tc>
          <w:tcPr>
            <w:tcW w:w="16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0C4F3" w14:textId="6B8007E1" w:rsidR="00365054" w:rsidRPr="00365054" w:rsidRDefault="00CD2BA1" w:rsidP="00E82468">
            <w:pPr>
              <w:spacing w:before="60" w:after="60"/>
              <w:jc w:val="right"/>
              <w:rPr>
                <w:rFonts w:ascii="Titillium" w:hAnsi="Titillium" w:cs="Calibri"/>
                <w:sz w:val="18"/>
                <w:szCs w:val="18"/>
              </w:rPr>
            </w:pPr>
            <w:r w:rsidRPr="00CD2BA1">
              <w:rPr>
                <w:rFonts w:ascii="Titillium" w:hAnsi="Titillium" w:cs="Calibri"/>
                <w:b/>
                <w:sz w:val="18"/>
                <w:szCs w:val="18"/>
              </w:rPr>
              <w:t>€</w:t>
            </w:r>
            <w:r w:rsidRPr="00CD2BA1">
              <w:rPr>
                <w:rFonts w:ascii="Titillium" w:hAnsi="Titillium" w:cs="Calibri"/>
                <w:b/>
                <w:bCs/>
                <w:iCs/>
                <w:sz w:val="18"/>
                <w:szCs w:val="18"/>
              </w:rPr>
              <w:t xml:space="preserve"> </w:t>
            </w:r>
            <w:r w:rsidR="009C44A9">
              <w:rPr>
                <w:rFonts w:ascii="Titillium" w:hAnsi="Titillium" w:cs="Calibri"/>
                <w:b/>
                <w:bCs/>
                <w:iCs/>
                <w:sz w:val="18"/>
                <w:szCs w:val="18"/>
              </w:rPr>
              <w:t>210</w:t>
            </w:r>
            <w:r w:rsidR="00D7284B" w:rsidRPr="00D7284B">
              <w:rPr>
                <w:rFonts w:ascii="Titillium" w:hAnsi="Titillium" w:cs="Calibri"/>
                <w:b/>
                <w:bCs/>
                <w:iCs/>
                <w:sz w:val="18"/>
                <w:szCs w:val="18"/>
              </w:rPr>
              <w:t>.</w:t>
            </w:r>
            <w:r w:rsidR="009C44A9">
              <w:rPr>
                <w:rFonts w:ascii="Titillium" w:hAnsi="Titillium" w:cs="Calibri"/>
                <w:b/>
                <w:bCs/>
                <w:iCs/>
                <w:sz w:val="18"/>
                <w:szCs w:val="18"/>
              </w:rPr>
              <w:t>000</w:t>
            </w:r>
            <w:r w:rsidR="00D7284B" w:rsidRPr="00D7284B">
              <w:rPr>
                <w:rFonts w:ascii="Titillium" w:hAnsi="Titillium" w:cs="Calibri"/>
                <w:b/>
                <w:bCs/>
                <w:iCs/>
                <w:sz w:val="18"/>
                <w:szCs w:val="18"/>
              </w:rPr>
              <w:t>,00</w:t>
            </w:r>
          </w:p>
        </w:tc>
      </w:tr>
      <w:tr w:rsidR="00365054" w:rsidRPr="00365054" w14:paraId="68C0B25B" w14:textId="77777777" w:rsidTr="552DAF46">
        <w:tc>
          <w:tcPr>
            <w:tcW w:w="775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E2BD30" w14:textId="6588DB5B" w:rsidR="00365054" w:rsidRPr="00365054" w:rsidRDefault="00365054" w:rsidP="005D67CA">
            <w:pPr>
              <w:numPr>
                <w:ilvl w:val="0"/>
                <w:numId w:val="22"/>
              </w:numPr>
              <w:spacing w:before="60" w:after="60"/>
              <w:rPr>
                <w:rFonts w:ascii="Titillium" w:hAnsi="Titillium" w:cs="Calibri"/>
                <w:b/>
                <w:sz w:val="18"/>
                <w:szCs w:val="18"/>
              </w:rPr>
            </w:pPr>
            <w:r w:rsidRPr="00365054">
              <w:rPr>
                <w:rFonts w:ascii="Titillium" w:hAnsi="Titillium" w:cs="Calibri"/>
                <w:b/>
                <w:sz w:val="18"/>
                <w:szCs w:val="18"/>
              </w:rPr>
              <w:t>Oneri per la sicurezza da interferenze non soggetti a ribasso</w:t>
            </w:r>
          </w:p>
        </w:tc>
        <w:tc>
          <w:tcPr>
            <w:tcW w:w="16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80DD91" w14:textId="242E992C" w:rsidR="00365054" w:rsidRPr="00365054" w:rsidRDefault="00365054" w:rsidP="00E82468">
            <w:pPr>
              <w:spacing w:before="60" w:after="60"/>
              <w:jc w:val="right"/>
              <w:rPr>
                <w:rFonts w:ascii="Titillium" w:hAnsi="Titillium" w:cs="Calibri"/>
                <w:sz w:val="18"/>
                <w:szCs w:val="18"/>
              </w:rPr>
            </w:pPr>
            <w:r>
              <w:rPr>
                <w:rFonts w:ascii="Titillium" w:hAnsi="Titillium" w:cs="Calibri"/>
                <w:sz w:val="18"/>
                <w:szCs w:val="18"/>
              </w:rPr>
              <w:t xml:space="preserve">€ </w:t>
            </w:r>
            <w:r w:rsidR="002C7A28">
              <w:rPr>
                <w:rFonts w:ascii="Titillium" w:hAnsi="Titillium" w:cs="Calibri"/>
                <w:sz w:val="18"/>
                <w:szCs w:val="18"/>
              </w:rPr>
              <w:t>0,00</w:t>
            </w:r>
          </w:p>
        </w:tc>
      </w:tr>
      <w:tr w:rsidR="00365054" w:rsidRPr="00365054" w14:paraId="67183A62" w14:textId="77777777" w:rsidTr="552DAF46">
        <w:tc>
          <w:tcPr>
            <w:tcW w:w="775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872D1E" w14:textId="7B42A023" w:rsidR="00365054" w:rsidRPr="00365054" w:rsidRDefault="00365054" w:rsidP="009C44A9">
            <w:pPr>
              <w:spacing w:before="60" w:after="60"/>
              <w:ind w:left="142"/>
              <w:rPr>
                <w:rFonts w:ascii="Titillium" w:hAnsi="Titillium" w:cs="Calibri"/>
                <w:b/>
                <w:sz w:val="18"/>
                <w:szCs w:val="18"/>
              </w:rPr>
            </w:pPr>
            <w:r w:rsidRPr="00365054">
              <w:rPr>
                <w:rFonts w:ascii="Titillium" w:hAnsi="Titillium" w:cs="Calibri"/>
                <w:b/>
                <w:sz w:val="18"/>
                <w:szCs w:val="18"/>
              </w:rPr>
              <w:t xml:space="preserve">   A) + B) Importo complessivo a base di gara</w:t>
            </w:r>
          </w:p>
        </w:tc>
        <w:tc>
          <w:tcPr>
            <w:tcW w:w="16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DAAC7E" w14:textId="0068A555" w:rsidR="00365054" w:rsidRPr="00365054" w:rsidRDefault="00CD2BA1" w:rsidP="00E82468">
            <w:pPr>
              <w:spacing w:before="60" w:after="60"/>
              <w:jc w:val="right"/>
              <w:rPr>
                <w:rFonts w:ascii="Titillium" w:hAnsi="Titillium" w:cs="Calibri"/>
                <w:b/>
                <w:sz w:val="18"/>
                <w:szCs w:val="18"/>
              </w:rPr>
            </w:pPr>
            <w:r w:rsidRPr="00CD2BA1">
              <w:rPr>
                <w:rFonts w:ascii="Titillium" w:hAnsi="Titillium" w:cs="Calibri"/>
                <w:b/>
                <w:sz w:val="18"/>
                <w:szCs w:val="18"/>
              </w:rPr>
              <w:t>€</w:t>
            </w:r>
            <w:r w:rsidRPr="00CD2BA1">
              <w:rPr>
                <w:rFonts w:ascii="Titillium" w:hAnsi="Titillium" w:cs="Calibri"/>
                <w:b/>
                <w:bCs/>
                <w:iCs/>
                <w:sz w:val="18"/>
                <w:szCs w:val="18"/>
              </w:rPr>
              <w:t xml:space="preserve"> </w:t>
            </w:r>
            <w:r w:rsidR="009C44A9">
              <w:rPr>
                <w:rFonts w:ascii="Titillium" w:hAnsi="Titillium" w:cs="Calibri"/>
                <w:b/>
                <w:bCs/>
                <w:iCs/>
                <w:sz w:val="18"/>
                <w:szCs w:val="18"/>
              </w:rPr>
              <w:t>210</w:t>
            </w:r>
            <w:r w:rsidR="00D7284B" w:rsidRPr="00D7284B">
              <w:rPr>
                <w:rFonts w:ascii="Titillium" w:hAnsi="Titillium" w:cs="Calibri"/>
                <w:b/>
                <w:bCs/>
                <w:iCs/>
                <w:sz w:val="18"/>
                <w:szCs w:val="18"/>
              </w:rPr>
              <w:t>.</w:t>
            </w:r>
            <w:r w:rsidR="009C44A9">
              <w:rPr>
                <w:rFonts w:ascii="Titillium" w:hAnsi="Titillium" w:cs="Calibri"/>
                <w:b/>
                <w:bCs/>
                <w:iCs/>
                <w:sz w:val="18"/>
                <w:szCs w:val="18"/>
              </w:rPr>
              <w:t>000</w:t>
            </w:r>
            <w:r w:rsidR="00D7284B" w:rsidRPr="00D7284B">
              <w:rPr>
                <w:rFonts w:ascii="Titillium" w:hAnsi="Titillium" w:cs="Calibri"/>
                <w:b/>
                <w:bCs/>
                <w:iCs/>
                <w:sz w:val="18"/>
                <w:szCs w:val="18"/>
              </w:rPr>
              <w:t>,00</w:t>
            </w:r>
          </w:p>
        </w:tc>
      </w:tr>
    </w:tbl>
    <w:p w14:paraId="6FC68EAF" w14:textId="77777777" w:rsidR="00A551BA" w:rsidRDefault="00A551BA" w:rsidP="00A255F0">
      <w:pPr>
        <w:spacing w:before="60" w:after="60"/>
        <w:rPr>
          <w:rFonts w:ascii="Titillium" w:hAnsi="Titillium" w:cs="Calibri"/>
          <w:sz w:val="18"/>
          <w:szCs w:val="18"/>
        </w:rPr>
      </w:pPr>
    </w:p>
    <w:p w14:paraId="6A4084A1" w14:textId="5E74E28C" w:rsidR="008B66E2" w:rsidRDefault="008B66E2" w:rsidP="00C341BB">
      <w:pPr>
        <w:spacing w:before="60" w:after="60"/>
        <w:rPr>
          <w:rFonts w:ascii="Titillium" w:hAnsi="Titillium" w:cs="Calibri"/>
          <w:sz w:val="18"/>
          <w:szCs w:val="18"/>
        </w:rPr>
      </w:pPr>
      <w:r w:rsidRPr="008B66E2">
        <w:rPr>
          <w:rFonts w:ascii="Titillium" w:hAnsi="Titillium" w:cs="Calibri"/>
          <w:sz w:val="18"/>
          <w:szCs w:val="18"/>
        </w:rPr>
        <w:t>La definizione della base di gara oraria della presente procedura è stata determinata al fine di ricomprendere il costo del personale e gli altri costi di gestione a carico dell’appaltatore. Tale base di gara è da intendersi omnicomprensiva di tutti gli oneri dell’aggiudicatario per l’esecuzione delle prestazioni oggetto del presente appalto, secondo quanto previsto nel Capitolato e nell’offerta tecnica presentata in gara.</w:t>
      </w:r>
    </w:p>
    <w:p w14:paraId="78D2C57E" w14:textId="6231E602" w:rsidR="00C341BB" w:rsidRDefault="00AF6AC6" w:rsidP="00C341BB">
      <w:pPr>
        <w:spacing w:before="60" w:after="60"/>
        <w:rPr>
          <w:rFonts w:ascii="Titillium" w:hAnsi="Titillium" w:cs="Calibri"/>
          <w:sz w:val="18"/>
          <w:szCs w:val="18"/>
        </w:rPr>
      </w:pPr>
      <w:r w:rsidRPr="00975FDA">
        <w:rPr>
          <w:rFonts w:ascii="Titillium" w:hAnsi="Titillium" w:cs="Calibri"/>
          <w:sz w:val="18"/>
          <w:szCs w:val="18"/>
        </w:rPr>
        <w:t>L’importo a base di gara comprende</w:t>
      </w:r>
      <w:r w:rsidR="001459D5">
        <w:rPr>
          <w:rFonts w:ascii="Titillium" w:hAnsi="Titillium" w:cs="Calibri"/>
          <w:sz w:val="18"/>
          <w:szCs w:val="18"/>
        </w:rPr>
        <w:t xml:space="preserve"> dunque</w:t>
      </w:r>
      <w:r w:rsidRPr="00975FDA">
        <w:rPr>
          <w:rFonts w:ascii="Titillium" w:hAnsi="Titillium" w:cs="Calibri"/>
          <w:sz w:val="18"/>
          <w:szCs w:val="18"/>
        </w:rPr>
        <w:t xml:space="preserve"> i </w:t>
      </w:r>
      <w:r w:rsidRPr="001459D5">
        <w:rPr>
          <w:rFonts w:ascii="Titillium" w:hAnsi="Titillium" w:cs="Calibri"/>
          <w:b/>
          <w:bCs/>
          <w:sz w:val="18"/>
          <w:szCs w:val="18"/>
        </w:rPr>
        <w:t>costi della manodopera</w:t>
      </w:r>
      <w:r w:rsidRPr="00975FDA">
        <w:rPr>
          <w:rFonts w:ascii="Titillium" w:hAnsi="Titillium" w:cs="Calibri"/>
          <w:sz w:val="18"/>
          <w:szCs w:val="18"/>
        </w:rPr>
        <w:t xml:space="preserve"> che la stazione appaltante ha stimato pari ad </w:t>
      </w:r>
      <w:bookmarkStart w:id="71" w:name="_Hlk197430911"/>
      <w:r w:rsidRPr="00975FDA">
        <w:rPr>
          <w:rFonts w:ascii="Titillium" w:hAnsi="Titillium" w:cs="Calibri"/>
          <w:sz w:val="18"/>
          <w:szCs w:val="18"/>
        </w:rPr>
        <w:t>€</w:t>
      </w:r>
      <w:r w:rsidR="00BC5AD9" w:rsidRPr="00975FDA">
        <w:rPr>
          <w:rFonts w:ascii="Titillium" w:hAnsi="Titillium" w:cs="Calibri"/>
          <w:sz w:val="18"/>
          <w:szCs w:val="18"/>
        </w:rPr>
        <w:t xml:space="preserve"> </w:t>
      </w:r>
      <w:r w:rsidR="00942C80">
        <w:rPr>
          <w:rFonts w:ascii="Titillium" w:hAnsi="Titillium" w:cs="Calibri"/>
          <w:sz w:val="18"/>
          <w:szCs w:val="18"/>
        </w:rPr>
        <w:t>156</w:t>
      </w:r>
      <w:r w:rsidR="002A1A8C" w:rsidRPr="003E3699">
        <w:rPr>
          <w:rFonts w:ascii="Titillium" w:hAnsi="Titillium" w:cs="Calibri"/>
          <w:sz w:val="18"/>
          <w:szCs w:val="18"/>
        </w:rPr>
        <w:t>.</w:t>
      </w:r>
      <w:r w:rsidR="00942C80">
        <w:rPr>
          <w:rFonts w:ascii="Titillium" w:hAnsi="Titillium" w:cs="Calibri"/>
          <w:sz w:val="18"/>
          <w:szCs w:val="18"/>
        </w:rPr>
        <w:t>796</w:t>
      </w:r>
      <w:r w:rsidR="002A1A8C" w:rsidRPr="003E3699">
        <w:rPr>
          <w:rFonts w:ascii="Titillium" w:hAnsi="Titillium" w:cs="Calibri"/>
          <w:sz w:val="18"/>
          <w:szCs w:val="18"/>
        </w:rPr>
        <w:t>,</w:t>
      </w:r>
      <w:r w:rsidR="00942C80">
        <w:rPr>
          <w:rFonts w:ascii="Titillium" w:hAnsi="Titillium" w:cs="Calibri"/>
          <w:sz w:val="18"/>
          <w:szCs w:val="18"/>
        </w:rPr>
        <w:t>50</w:t>
      </w:r>
      <w:r w:rsidR="002A1A8C" w:rsidRPr="00586D32">
        <w:rPr>
          <w:rFonts w:ascii="Times New Roman" w:eastAsia="Verdana" w:hAnsi="Times New Roman"/>
          <w:szCs w:val="24"/>
        </w:rPr>
        <w:t xml:space="preserve"> </w:t>
      </w:r>
      <w:r w:rsidR="00226BE2">
        <w:rPr>
          <w:rFonts w:ascii="Titillium" w:hAnsi="Titillium" w:cs="Calibri"/>
          <w:sz w:val="18"/>
          <w:szCs w:val="18"/>
        </w:rPr>
        <w:t>per la durata dell’intero appalto</w:t>
      </w:r>
      <w:r w:rsidR="00B906A4">
        <w:rPr>
          <w:rFonts w:ascii="Titillium" w:hAnsi="Titillium" w:cs="Calibri"/>
          <w:sz w:val="18"/>
          <w:szCs w:val="18"/>
        </w:rPr>
        <w:t xml:space="preserve"> calcolati</w:t>
      </w:r>
      <w:r w:rsidR="00D708A8">
        <w:rPr>
          <w:rFonts w:ascii="Titillium" w:hAnsi="Titillium" w:cs="Calibri"/>
          <w:sz w:val="18"/>
          <w:szCs w:val="18"/>
        </w:rPr>
        <w:t xml:space="preserve"> </w:t>
      </w:r>
      <w:r w:rsidR="000C22E7">
        <w:rPr>
          <w:rFonts w:ascii="Titillium" w:hAnsi="Titillium" w:cs="Calibri"/>
          <w:sz w:val="18"/>
          <w:szCs w:val="18"/>
        </w:rPr>
        <w:t xml:space="preserve">prendendo a riferimento </w:t>
      </w:r>
      <w:r w:rsidR="009940F0" w:rsidRPr="009940F0">
        <w:rPr>
          <w:rFonts w:ascii="Titillium" w:hAnsi="Titillium" w:cs="Calibri"/>
          <w:sz w:val="18"/>
          <w:szCs w:val="18"/>
        </w:rPr>
        <w:t xml:space="preserve"> </w:t>
      </w:r>
      <w:r w:rsidR="000C22E7" w:rsidRPr="000C22E7">
        <w:rPr>
          <w:rFonts w:ascii="Titillium" w:hAnsi="Titillium" w:cs="Calibri"/>
          <w:sz w:val="18"/>
          <w:szCs w:val="18"/>
        </w:rPr>
        <w:t xml:space="preserve">il costo orario minimo incomprimibile (senza indennità di turno) del lavoro riportato nelle Tabelle Ministeriali di cui al D.D. n. 7/2020 del Ministero del Lavoro e delle Politiche Sociali per i lavoratori dello sport codice univoco </w:t>
      </w:r>
      <w:r w:rsidR="000C22E7" w:rsidRPr="004C4DB0">
        <w:rPr>
          <w:rFonts w:ascii="Titillium" w:hAnsi="Titillium" w:cs="Calibri"/>
          <w:b/>
          <w:bCs/>
          <w:sz w:val="18"/>
          <w:szCs w:val="18"/>
        </w:rPr>
        <w:t>INPS-CNEL T711</w:t>
      </w:r>
      <w:r w:rsidR="000C22E7" w:rsidRPr="000C22E7">
        <w:rPr>
          <w:rFonts w:ascii="Titillium" w:hAnsi="Titillium" w:cs="Calibri"/>
          <w:sz w:val="18"/>
          <w:szCs w:val="18"/>
        </w:rPr>
        <w:t xml:space="preserve"> “PERSONALE DIPENDENTE DEI SERVIZI DELLA CULTURA, DEL TURISMO, DELLO SPORT E DEL TEMPO LIBERO”</w:t>
      </w:r>
      <w:r w:rsidR="001459D5">
        <w:rPr>
          <w:rFonts w:ascii="Titillium" w:hAnsi="Titillium" w:cs="Calibri"/>
          <w:sz w:val="18"/>
          <w:szCs w:val="18"/>
        </w:rPr>
        <w:t>, come meglio dettagliato nel Progetto</w:t>
      </w:r>
      <w:r w:rsidR="00F50FDE">
        <w:rPr>
          <w:rFonts w:ascii="Titillium" w:hAnsi="Titillium" w:cs="Calibri"/>
          <w:sz w:val="18"/>
          <w:szCs w:val="18"/>
        </w:rPr>
        <w:t>.</w:t>
      </w:r>
    </w:p>
    <w:bookmarkEnd w:id="71"/>
    <w:p w14:paraId="6B2560DD" w14:textId="1D55746B" w:rsidR="001E195C" w:rsidRPr="001E195C" w:rsidRDefault="001E195C" w:rsidP="001E195C">
      <w:pPr>
        <w:spacing w:before="60" w:after="60"/>
        <w:rPr>
          <w:rFonts w:ascii="Titillium" w:hAnsi="Titillium"/>
          <w:sz w:val="18"/>
          <w:szCs w:val="18"/>
        </w:rPr>
      </w:pPr>
      <w:r w:rsidRPr="001E195C">
        <w:rPr>
          <w:rFonts w:ascii="Titillium" w:hAnsi="Titillium"/>
          <w:sz w:val="18"/>
          <w:szCs w:val="18"/>
        </w:rPr>
        <w:t>L’importo complessivo è al netto di</w:t>
      </w:r>
      <w:r w:rsidRPr="001E195C">
        <w:rPr>
          <w:rFonts w:ascii="Titillium" w:hAnsi="Titillium"/>
          <w:i/>
          <w:sz w:val="18"/>
          <w:szCs w:val="18"/>
        </w:rPr>
        <w:t xml:space="preserve"> </w:t>
      </w:r>
      <w:r w:rsidRPr="001E195C">
        <w:rPr>
          <w:rFonts w:ascii="Titillium" w:hAnsi="Titillium"/>
          <w:sz w:val="18"/>
          <w:szCs w:val="18"/>
        </w:rPr>
        <w:t>Iva.</w:t>
      </w:r>
    </w:p>
    <w:p w14:paraId="35BAFFA8" w14:textId="20E7F9AF" w:rsidR="0033231C" w:rsidRDefault="0033231C" w:rsidP="0033231C">
      <w:pPr>
        <w:spacing w:before="60" w:after="60"/>
        <w:rPr>
          <w:rFonts w:ascii="Titillium" w:hAnsi="Titillium"/>
          <w:sz w:val="18"/>
          <w:szCs w:val="18"/>
        </w:rPr>
      </w:pPr>
      <w:bookmarkStart w:id="72" w:name="_Toc484688264"/>
      <w:bookmarkStart w:id="73" w:name="_Toc484605395"/>
      <w:bookmarkStart w:id="74" w:name="_Toc484605271"/>
      <w:bookmarkStart w:id="75" w:name="_Toc484526551"/>
      <w:bookmarkStart w:id="76" w:name="_Toc484449056"/>
      <w:bookmarkStart w:id="77" w:name="_Toc484448932"/>
      <w:bookmarkStart w:id="78" w:name="_Toc484448808"/>
      <w:bookmarkStart w:id="79" w:name="_Toc484448685"/>
      <w:bookmarkStart w:id="80" w:name="_Toc484448561"/>
      <w:bookmarkStart w:id="81" w:name="_Toc484448437"/>
      <w:bookmarkStart w:id="82" w:name="_Toc484448313"/>
      <w:bookmarkStart w:id="83" w:name="_Toc484448189"/>
      <w:bookmarkStart w:id="84" w:name="_Toc484448064"/>
      <w:bookmarkStart w:id="85" w:name="_Toc484440405"/>
      <w:bookmarkStart w:id="86" w:name="_Toc484440045"/>
      <w:bookmarkStart w:id="87" w:name="_Toc484439921"/>
      <w:bookmarkStart w:id="88" w:name="_Toc484439798"/>
      <w:bookmarkStart w:id="89" w:name="_Toc484438878"/>
      <w:bookmarkStart w:id="90" w:name="_Toc484438754"/>
      <w:bookmarkStart w:id="91" w:name="_Toc484438630"/>
      <w:bookmarkStart w:id="92" w:name="_Toc484429055"/>
      <w:bookmarkStart w:id="93" w:name="_Toc484428885"/>
      <w:bookmarkStart w:id="94" w:name="_Toc484097713"/>
      <w:bookmarkStart w:id="95" w:name="_Toc484011639"/>
      <w:bookmarkStart w:id="96" w:name="_Toc484011164"/>
      <w:bookmarkStart w:id="97" w:name="_Toc484011042"/>
      <w:bookmarkStart w:id="98" w:name="_Toc484010920"/>
      <w:bookmarkStart w:id="99" w:name="_Toc484010796"/>
      <w:bookmarkStart w:id="100" w:name="_Toc484010674"/>
      <w:bookmarkStart w:id="101" w:name="_Toc483906924"/>
      <w:bookmarkStart w:id="102" w:name="_Toc483571547"/>
      <w:bookmarkStart w:id="103" w:name="_Toc483571426"/>
      <w:bookmarkStart w:id="104" w:name="_Toc483473997"/>
      <w:bookmarkStart w:id="105" w:name="_Toc483401200"/>
      <w:bookmarkStart w:id="106" w:name="_Toc483325721"/>
      <w:bookmarkStart w:id="107" w:name="_Toc483316418"/>
      <w:bookmarkStart w:id="108" w:name="_Toc483316287"/>
      <w:bookmarkStart w:id="109" w:name="_Toc483316084"/>
      <w:bookmarkStart w:id="110" w:name="_Toc483315878"/>
      <w:bookmarkStart w:id="111" w:name="_Toc483302328"/>
      <w:bookmarkStart w:id="112" w:name="_Toc485218255"/>
      <w:bookmarkStart w:id="113" w:name="_Toc484688819"/>
      <w:bookmarkStart w:id="114" w:name="_Toc89270278"/>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287C41">
        <w:rPr>
          <w:rFonts w:ascii="Titillium" w:hAnsi="Titillium"/>
          <w:sz w:val="18"/>
          <w:szCs w:val="18"/>
        </w:rPr>
        <w:t>Il costo della manodopera incide sull’importo dell’</w:t>
      </w:r>
      <w:r w:rsidRPr="00975FDA">
        <w:rPr>
          <w:rFonts w:ascii="Titillium" w:hAnsi="Titillium"/>
          <w:sz w:val="18"/>
          <w:szCs w:val="18"/>
        </w:rPr>
        <w:t>appalto per il</w:t>
      </w:r>
      <w:r w:rsidR="00975FDA" w:rsidRPr="00975FDA">
        <w:rPr>
          <w:rFonts w:ascii="Titillium" w:hAnsi="Titillium"/>
          <w:sz w:val="18"/>
          <w:szCs w:val="18"/>
        </w:rPr>
        <w:t xml:space="preserve"> </w:t>
      </w:r>
      <w:r w:rsidR="004C4DB0">
        <w:rPr>
          <w:rFonts w:ascii="Titillium" w:hAnsi="Titillium"/>
          <w:sz w:val="18"/>
          <w:szCs w:val="18"/>
        </w:rPr>
        <w:t>7</w:t>
      </w:r>
      <w:r w:rsidR="004A68E9">
        <w:rPr>
          <w:rFonts w:ascii="Titillium" w:hAnsi="Titillium"/>
          <w:sz w:val="18"/>
          <w:szCs w:val="18"/>
        </w:rPr>
        <w:t>4</w:t>
      </w:r>
      <w:r w:rsidR="009F603C">
        <w:rPr>
          <w:rFonts w:ascii="Titillium" w:hAnsi="Titillium"/>
          <w:sz w:val="18"/>
          <w:szCs w:val="18"/>
        </w:rPr>
        <w:t>,</w:t>
      </w:r>
      <w:r w:rsidR="004A68E9">
        <w:rPr>
          <w:rFonts w:ascii="Titillium" w:hAnsi="Titillium"/>
          <w:sz w:val="18"/>
          <w:szCs w:val="18"/>
        </w:rPr>
        <w:t>66 %</w:t>
      </w:r>
      <w:r w:rsidRPr="00722405">
        <w:rPr>
          <w:rFonts w:ascii="Titillium" w:hAnsi="Titillium"/>
          <w:sz w:val="18"/>
          <w:szCs w:val="18"/>
        </w:rPr>
        <w:t>.</w:t>
      </w:r>
    </w:p>
    <w:p w14:paraId="4E4F5787" w14:textId="77777777" w:rsidR="00F50FDE" w:rsidRPr="00A551BA" w:rsidRDefault="00F50FDE" w:rsidP="00F50FDE">
      <w:pPr>
        <w:spacing w:before="60" w:after="60"/>
        <w:rPr>
          <w:rFonts w:ascii="Titillium" w:hAnsi="Titillium" w:cs="Calibri"/>
          <w:sz w:val="18"/>
          <w:szCs w:val="18"/>
        </w:rPr>
      </w:pPr>
      <w:r w:rsidRPr="00A551BA">
        <w:rPr>
          <w:rFonts w:ascii="Titillium" w:hAnsi="Titillium" w:cs="Calibri"/>
          <w:sz w:val="18"/>
          <w:szCs w:val="18"/>
        </w:rPr>
        <w:t xml:space="preserve">Il servizio è finanziato con fondi </w:t>
      </w:r>
      <w:r>
        <w:rPr>
          <w:rFonts w:ascii="Titillium" w:hAnsi="Titillium" w:cs="Calibri"/>
          <w:sz w:val="18"/>
          <w:szCs w:val="18"/>
        </w:rPr>
        <w:t>del Comune di Castel San Giovanni (PC).</w:t>
      </w:r>
    </w:p>
    <w:p w14:paraId="3C9A5919" w14:textId="28DE6A81" w:rsidR="004C53A8" w:rsidRDefault="004C667D" w:rsidP="008300A5">
      <w:pPr>
        <w:pStyle w:val="Titolo3"/>
        <w:numPr>
          <w:ilvl w:val="1"/>
          <w:numId w:val="3"/>
        </w:numPr>
        <w:ind w:left="426" w:hanging="426"/>
      </w:pPr>
      <w:r>
        <w:rPr>
          <w:rFonts w:ascii="Titillium" w:hAnsi="Titillium"/>
          <w:caps w:val="0"/>
          <w:sz w:val="18"/>
          <w:szCs w:val="18"/>
          <w:lang w:val="it-IT"/>
        </w:rPr>
        <w:t>D</w:t>
      </w:r>
      <w:r>
        <w:rPr>
          <w:rFonts w:ascii="Titillium" w:hAnsi="Titillium"/>
          <w:caps w:val="0"/>
          <w:sz w:val="18"/>
          <w:szCs w:val="18"/>
        </w:rPr>
        <w:t>URATA</w:t>
      </w:r>
      <w:bookmarkEnd w:id="114"/>
    </w:p>
    <w:p w14:paraId="2EB0BE64" w14:textId="733FA40F" w:rsidR="009D3855" w:rsidRPr="009D3855" w:rsidRDefault="00870286" w:rsidP="009D3855">
      <w:pPr>
        <w:spacing w:before="120" w:after="60"/>
        <w:rPr>
          <w:rFonts w:ascii="Titillium" w:hAnsi="Titillium"/>
          <w:sz w:val="18"/>
          <w:szCs w:val="18"/>
        </w:rPr>
      </w:pPr>
      <w:r>
        <w:rPr>
          <w:rFonts w:ascii="Titillium" w:hAnsi="Titillium"/>
          <w:sz w:val="18"/>
          <w:szCs w:val="18"/>
        </w:rPr>
        <w:t>La durata dell’appalto</w:t>
      </w:r>
      <w:r w:rsidR="002D7EC7">
        <w:rPr>
          <w:rFonts w:ascii="Titillium" w:hAnsi="Titillium"/>
          <w:b/>
          <w:sz w:val="18"/>
          <w:szCs w:val="18"/>
        </w:rPr>
        <w:t xml:space="preserve"> </w:t>
      </w:r>
      <w:r w:rsidR="003E0BF8">
        <w:rPr>
          <w:rFonts w:ascii="Titillium" w:hAnsi="Titillium"/>
          <w:b/>
          <w:sz w:val="18"/>
          <w:szCs w:val="18"/>
        </w:rPr>
        <w:t xml:space="preserve">è </w:t>
      </w:r>
      <w:r w:rsidR="009A72C3">
        <w:rPr>
          <w:rFonts w:ascii="Titillium" w:hAnsi="Titillium"/>
          <w:b/>
          <w:sz w:val="18"/>
          <w:szCs w:val="18"/>
        </w:rPr>
        <w:t xml:space="preserve">di </w:t>
      </w:r>
      <w:r w:rsidR="009A72C3" w:rsidRPr="009A72C3">
        <w:rPr>
          <w:rFonts w:ascii="Titillium" w:hAnsi="Titillium"/>
          <w:b/>
          <w:sz w:val="18"/>
          <w:szCs w:val="18"/>
        </w:rPr>
        <w:t>42 mesi, a decorrere dalla data di inizio del servizio, presumibilmente dal 1° gennaio 2027 al 30 giugno 2030</w:t>
      </w:r>
      <w:r w:rsidR="000D4684" w:rsidRPr="00A11EF7">
        <w:rPr>
          <w:rFonts w:ascii="Titillium" w:hAnsi="Titillium"/>
          <w:sz w:val="18"/>
          <w:szCs w:val="18"/>
        </w:rPr>
        <w:t xml:space="preserve">. </w:t>
      </w:r>
      <w:bookmarkStart w:id="115" w:name="_Hlk144892912"/>
      <w:r w:rsidR="009D3855" w:rsidRPr="00A11EF7">
        <w:rPr>
          <w:rFonts w:ascii="Titillium" w:hAnsi="Titillium"/>
          <w:sz w:val="18"/>
          <w:szCs w:val="18"/>
        </w:rPr>
        <w:t>L’appaltatore dovrà</w:t>
      </w:r>
      <w:r w:rsidR="009D3855" w:rsidRPr="009D3855">
        <w:rPr>
          <w:rFonts w:ascii="Titillium" w:hAnsi="Titillium"/>
          <w:sz w:val="18"/>
          <w:szCs w:val="18"/>
        </w:rPr>
        <w:t xml:space="preserve"> provvedere all’esecuzione del presente appalto anche nelle more della formale stipula del contratto. </w:t>
      </w:r>
      <w:r w:rsidR="009F603C">
        <w:rPr>
          <w:rFonts w:ascii="Titillium" w:hAnsi="Titillium"/>
          <w:sz w:val="18"/>
          <w:szCs w:val="18"/>
        </w:rPr>
        <w:t>È</w:t>
      </w:r>
      <w:r w:rsidR="009D3855" w:rsidRPr="009D3855">
        <w:rPr>
          <w:rFonts w:ascii="Titillium" w:hAnsi="Titillium"/>
          <w:sz w:val="18"/>
          <w:szCs w:val="18"/>
        </w:rPr>
        <w:t xml:space="preserve"> ammessa l’esecuzione anticipata in via d’urgenza, ai sensi dell’art. </w:t>
      </w:r>
      <w:r w:rsidR="00127252">
        <w:rPr>
          <w:rFonts w:ascii="Titillium" w:hAnsi="Titillium"/>
          <w:sz w:val="18"/>
          <w:szCs w:val="18"/>
        </w:rPr>
        <w:t>50</w:t>
      </w:r>
      <w:r w:rsidR="009D3855" w:rsidRPr="009D3855">
        <w:rPr>
          <w:rFonts w:ascii="Titillium" w:hAnsi="Titillium"/>
          <w:sz w:val="18"/>
          <w:szCs w:val="18"/>
        </w:rPr>
        <w:t xml:space="preserve"> comma </w:t>
      </w:r>
      <w:r w:rsidR="00127252">
        <w:rPr>
          <w:rFonts w:ascii="Titillium" w:hAnsi="Titillium"/>
          <w:sz w:val="18"/>
          <w:szCs w:val="18"/>
        </w:rPr>
        <w:t>6</w:t>
      </w:r>
      <w:r w:rsidR="009D3855" w:rsidRPr="009D3855">
        <w:rPr>
          <w:rFonts w:ascii="Titillium" w:hAnsi="Titillium"/>
          <w:sz w:val="18"/>
          <w:szCs w:val="18"/>
        </w:rPr>
        <w:t xml:space="preserve"> del D.lgs 36/2023.</w:t>
      </w:r>
    </w:p>
    <w:p w14:paraId="18AC7B2B" w14:textId="4C7F889A" w:rsidR="00287C41" w:rsidRDefault="00287C41" w:rsidP="00287C41">
      <w:pPr>
        <w:keepNext/>
        <w:numPr>
          <w:ilvl w:val="1"/>
          <w:numId w:val="3"/>
        </w:numPr>
        <w:spacing w:before="120" w:after="60"/>
        <w:ind w:left="426" w:hanging="426"/>
        <w:outlineLvl w:val="2"/>
        <w:rPr>
          <w:rFonts w:ascii="Titillium" w:hAnsi="Titillium"/>
          <w:b/>
          <w:bCs/>
          <w:caps/>
          <w:sz w:val="18"/>
          <w:szCs w:val="18"/>
        </w:rPr>
      </w:pPr>
      <w:bookmarkStart w:id="116" w:name="_Toc484688266"/>
      <w:bookmarkStart w:id="117" w:name="_Toc484605397"/>
      <w:bookmarkStart w:id="118" w:name="_Toc484605273"/>
      <w:bookmarkStart w:id="119" w:name="_Toc484526553"/>
      <w:bookmarkStart w:id="120" w:name="_Toc484449058"/>
      <w:bookmarkStart w:id="121" w:name="_Toc484448934"/>
      <w:bookmarkStart w:id="122" w:name="_Toc484448810"/>
      <w:bookmarkStart w:id="123" w:name="_Toc484448687"/>
      <w:bookmarkStart w:id="124" w:name="_Toc484448563"/>
      <w:bookmarkStart w:id="125" w:name="_Toc484448439"/>
      <w:bookmarkStart w:id="126" w:name="_Toc484448315"/>
      <w:bookmarkStart w:id="127" w:name="_Toc484448191"/>
      <w:bookmarkStart w:id="128" w:name="_Toc484448066"/>
      <w:bookmarkStart w:id="129" w:name="_Toc484440407"/>
      <w:bookmarkStart w:id="130" w:name="_Toc484440047"/>
      <w:bookmarkStart w:id="131" w:name="_Toc484439923"/>
      <w:bookmarkStart w:id="132" w:name="_Toc484439800"/>
      <w:bookmarkStart w:id="133" w:name="_Toc484438880"/>
      <w:bookmarkStart w:id="134" w:name="_Toc484438756"/>
      <w:bookmarkStart w:id="135" w:name="_Toc484438632"/>
      <w:bookmarkStart w:id="136" w:name="_Toc484429057"/>
      <w:bookmarkStart w:id="137" w:name="_Toc484428887"/>
      <w:bookmarkStart w:id="138" w:name="_Toc484097715"/>
      <w:bookmarkStart w:id="139" w:name="_Toc484011641"/>
      <w:bookmarkStart w:id="140" w:name="_Toc484011166"/>
      <w:bookmarkStart w:id="141" w:name="_Toc484011044"/>
      <w:bookmarkStart w:id="142" w:name="_Toc484010922"/>
      <w:bookmarkStart w:id="143" w:name="_Toc484010798"/>
      <w:bookmarkStart w:id="144" w:name="_Toc484010676"/>
      <w:bookmarkStart w:id="145" w:name="_Toc483906926"/>
      <w:bookmarkStart w:id="146" w:name="_Toc483571549"/>
      <w:bookmarkStart w:id="147" w:name="_Toc483571428"/>
      <w:bookmarkStart w:id="148" w:name="_Toc483473999"/>
      <w:bookmarkStart w:id="149" w:name="_Toc483401202"/>
      <w:bookmarkStart w:id="150" w:name="_Toc483325723"/>
      <w:bookmarkStart w:id="151" w:name="_Toc483316420"/>
      <w:bookmarkStart w:id="152" w:name="_Toc483316289"/>
      <w:bookmarkStart w:id="153" w:name="_Toc483316086"/>
      <w:bookmarkStart w:id="154" w:name="_Toc483315880"/>
      <w:bookmarkStart w:id="155" w:name="_Toc483302330"/>
      <w:bookmarkStart w:id="156" w:name="_Toc482098999"/>
      <w:bookmarkStart w:id="157" w:name="_Toc482097901"/>
      <w:bookmarkStart w:id="158" w:name="_Toc482097709"/>
      <w:bookmarkStart w:id="159" w:name="_Toc482097620"/>
      <w:bookmarkStart w:id="160" w:name="_Toc482097531"/>
      <w:bookmarkStart w:id="161" w:name="_Toc482025708"/>
      <w:bookmarkStart w:id="162" w:name="_Toc485218257"/>
      <w:bookmarkStart w:id="163" w:name="_Toc484688821"/>
      <w:bookmarkStart w:id="164" w:name="_Toc139549419"/>
      <w:bookmarkStart w:id="165" w:name="_Hlk102727365"/>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sidRPr="00287C41">
        <w:rPr>
          <w:rFonts w:ascii="Titillium" w:hAnsi="Titillium"/>
          <w:b/>
          <w:bCs/>
          <w:caps/>
          <w:sz w:val="18"/>
          <w:szCs w:val="18"/>
        </w:rPr>
        <w:t>REVISIONE PREZZI</w:t>
      </w:r>
      <w:bookmarkEnd w:id="164"/>
    </w:p>
    <w:p w14:paraId="6FC64098" w14:textId="77777777" w:rsidR="00F21603" w:rsidRPr="00F21603" w:rsidRDefault="00F21603" w:rsidP="00F21603">
      <w:pPr>
        <w:keepNext/>
        <w:spacing w:before="120" w:after="60"/>
        <w:outlineLvl w:val="2"/>
        <w:rPr>
          <w:rFonts w:ascii="Titillium" w:hAnsi="Titillium"/>
          <w:sz w:val="18"/>
          <w:szCs w:val="18"/>
        </w:rPr>
      </w:pPr>
      <w:r w:rsidRPr="00F21603">
        <w:rPr>
          <w:rFonts w:ascii="Titillium" w:hAnsi="Titillium"/>
          <w:sz w:val="18"/>
          <w:szCs w:val="18"/>
        </w:rPr>
        <w:t>Ai sensi dell’art. 23 del D.lgs. n° 209 del 31/12/2024 a modifica dell’art. 60 del D.lgs. n° 36 del 31/03/2023, l’Ente ha l’onere di provvedere alla revisione del costo del servizio, in aumento o in diminuzione, superiore al</w:t>
      </w:r>
      <w:r w:rsidRPr="00F21603">
        <w:rPr>
          <w:rFonts w:ascii="Titillium" w:hAnsi="Titillium"/>
          <w:b/>
          <w:bCs/>
          <w:caps/>
          <w:sz w:val="18"/>
          <w:szCs w:val="18"/>
        </w:rPr>
        <w:t xml:space="preserve"> </w:t>
      </w:r>
      <w:r w:rsidRPr="00F21603">
        <w:rPr>
          <w:rFonts w:ascii="Titillium" w:hAnsi="Titillium"/>
          <w:sz w:val="18"/>
          <w:szCs w:val="18"/>
        </w:rPr>
        <w:t>5% dell’importo complessivo e operano nella misura dell’80% del valore eccedente la variazione del 5% applicata alle prestazioni da eseguire.</w:t>
      </w:r>
    </w:p>
    <w:p w14:paraId="53A8509D" w14:textId="7271F807" w:rsidR="00F21603" w:rsidRDefault="00F21603" w:rsidP="00F21603">
      <w:pPr>
        <w:keepNext/>
        <w:spacing w:before="120" w:after="60"/>
        <w:outlineLvl w:val="2"/>
        <w:rPr>
          <w:rFonts w:ascii="Titillium" w:hAnsi="Titillium"/>
          <w:sz w:val="18"/>
          <w:szCs w:val="18"/>
        </w:rPr>
      </w:pPr>
      <w:r w:rsidRPr="00F21603">
        <w:rPr>
          <w:rFonts w:ascii="Titillium" w:hAnsi="Titillium"/>
          <w:sz w:val="18"/>
          <w:szCs w:val="18"/>
        </w:rPr>
        <w:t xml:space="preserve">Si rimanda all’articolo </w:t>
      </w:r>
      <w:r w:rsidR="00D01323">
        <w:rPr>
          <w:rFonts w:ascii="Titillium" w:hAnsi="Titillium"/>
          <w:sz w:val="18"/>
          <w:szCs w:val="18"/>
        </w:rPr>
        <w:t>5</w:t>
      </w:r>
      <w:r w:rsidR="00A11EF7">
        <w:rPr>
          <w:rFonts w:ascii="Titillium" w:hAnsi="Titillium"/>
          <w:sz w:val="18"/>
          <w:szCs w:val="18"/>
        </w:rPr>
        <w:t>-</w:t>
      </w:r>
      <w:r w:rsidR="00861C7E">
        <w:rPr>
          <w:rFonts w:ascii="Titillium" w:hAnsi="Titillium"/>
          <w:sz w:val="18"/>
          <w:szCs w:val="18"/>
        </w:rPr>
        <w:t>bis</w:t>
      </w:r>
      <w:r w:rsidRPr="00F21603">
        <w:rPr>
          <w:rFonts w:ascii="Titillium" w:hAnsi="Titillium"/>
          <w:sz w:val="18"/>
          <w:szCs w:val="18"/>
        </w:rPr>
        <w:t xml:space="preserve"> del </w:t>
      </w:r>
      <w:r>
        <w:rPr>
          <w:rFonts w:ascii="Titillium" w:hAnsi="Titillium"/>
          <w:sz w:val="18"/>
          <w:szCs w:val="18"/>
        </w:rPr>
        <w:t>C</w:t>
      </w:r>
      <w:r w:rsidRPr="00F21603">
        <w:rPr>
          <w:rFonts w:ascii="Titillium" w:hAnsi="Titillium"/>
          <w:sz w:val="18"/>
          <w:szCs w:val="18"/>
        </w:rPr>
        <w:t xml:space="preserve">apitolato </w:t>
      </w:r>
      <w:r w:rsidR="00861C7E" w:rsidRPr="00F21603">
        <w:rPr>
          <w:rFonts w:ascii="Titillium" w:hAnsi="Titillium"/>
          <w:sz w:val="18"/>
          <w:szCs w:val="18"/>
        </w:rPr>
        <w:t xml:space="preserve">Speciale </w:t>
      </w:r>
      <w:r w:rsidRPr="00F21603">
        <w:rPr>
          <w:rFonts w:ascii="Titillium" w:hAnsi="Titillium"/>
          <w:sz w:val="18"/>
          <w:szCs w:val="18"/>
        </w:rPr>
        <w:t>d’</w:t>
      </w:r>
      <w:r w:rsidR="00861C7E">
        <w:rPr>
          <w:rFonts w:ascii="Titillium" w:hAnsi="Titillium"/>
          <w:sz w:val="18"/>
          <w:szCs w:val="18"/>
        </w:rPr>
        <w:t>A</w:t>
      </w:r>
      <w:r w:rsidRPr="00F21603">
        <w:rPr>
          <w:rFonts w:ascii="Titillium" w:hAnsi="Titillium"/>
          <w:sz w:val="18"/>
          <w:szCs w:val="18"/>
        </w:rPr>
        <w:t>ppalto.</w:t>
      </w:r>
    </w:p>
    <w:p w14:paraId="625F0F95" w14:textId="77777777" w:rsidR="00F21603" w:rsidRPr="00F21603" w:rsidRDefault="00F21603" w:rsidP="00F21603">
      <w:pPr>
        <w:keepNext/>
        <w:spacing w:before="120" w:after="60"/>
        <w:outlineLvl w:val="2"/>
        <w:rPr>
          <w:rFonts w:ascii="Titillium" w:hAnsi="Titillium"/>
          <w:sz w:val="18"/>
          <w:szCs w:val="18"/>
        </w:rPr>
      </w:pPr>
    </w:p>
    <w:p w14:paraId="73BE9EEE" w14:textId="69370A8C" w:rsidR="00E22744" w:rsidRPr="009F79D8" w:rsidRDefault="00622050" w:rsidP="009F79D8">
      <w:pPr>
        <w:keepNext/>
        <w:numPr>
          <w:ilvl w:val="1"/>
          <w:numId w:val="3"/>
        </w:numPr>
        <w:spacing w:before="120" w:after="60"/>
        <w:ind w:left="426" w:hanging="426"/>
        <w:outlineLvl w:val="2"/>
        <w:rPr>
          <w:rFonts w:ascii="Titillium" w:hAnsi="Titillium"/>
          <w:b/>
          <w:bCs/>
          <w:caps/>
          <w:sz w:val="18"/>
          <w:szCs w:val="18"/>
        </w:rPr>
      </w:pPr>
      <w:bookmarkStart w:id="166" w:name="_Toc139549420"/>
      <w:r w:rsidRPr="00622050">
        <w:rPr>
          <w:rFonts w:ascii="Titillium" w:hAnsi="Titillium"/>
          <w:b/>
          <w:bCs/>
          <w:caps/>
          <w:sz w:val="18"/>
          <w:szCs w:val="18"/>
        </w:rPr>
        <w:t>MODIFICA DEL CONTRATTO IN FASE DI ESECUZIONE</w:t>
      </w:r>
      <w:bookmarkEnd w:id="166"/>
    </w:p>
    <w:p w14:paraId="058DF6DF" w14:textId="77777777" w:rsidR="0055216E" w:rsidRDefault="0055216E" w:rsidP="009F79D8">
      <w:pPr>
        <w:spacing w:before="60" w:after="60"/>
        <w:rPr>
          <w:rFonts w:ascii="Titillium" w:hAnsi="Titillium"/>
          <w:b/>
          <w:iCs/>
          <w:sz w:val="18"/>
          <w:szCs w:val="18"/>
        </w:rPr>
      </w:pPr>
    </w:p>
    <w:p w14:paraId="5B51F39E" w14:textId="7A045392" w:rsidR="00B063AE" w:rsidRPr="002D1FAA" w:rsidRDefault="007124A3" w:rsidP="009F79D8">
      <w:pPr>
        <w:spacing w:before="60" w:after="60"/>
        <w:rPr>
          <w:rFonts w:ascii="Titillium" w:hAnsi="Titillium"/>
          <w:bCs/>
          <w:iCs/>
          <w:sz w:val="18"/>
          <w:szCs w:val="18"/>
        </w:rPr>
      </w:pPr>
      <w:r>
        <w:rPr>
          <w:rFonts w:ascii="Titillium" w:hAnsi="Titillium"/>
          <w:b/>
          <w:iCs/>
          <w:sz w:val="18"/>
          <w:szCs w:val="18"/>
        </w:rPr>
        <w:t>Opzione di proroga contrattuale ai sensi dell’Art. 120</w:t>
      </w:r>
      <w:r w:rsidR="00D60B7E">
        <w:rPr>
          <w:rFonts w:ascii="Titillium" w:hAnsi="Titillium"/>
          <w:b/>
          <w:iCs/>
          <w:sz w:val="18"/>
          <w:szCs w:val="18"/>
        </w:rPr>
        <w:t xml:space="preserve">, comma 10 </w:t>
      </w:r>
      <w:r w:rsidR="002D1FAA">
        <w:rPr>
          <w:rFonts w:ascii="Titillium" w:hAnsi="Titillium"/>
          <w:b/>
          <w:iCs/>
          <w:sz w:val="18"/>
          <w:szCs w:val="18"/>
        </w:rPr>
        <w:t>del Codice</w:t>
      </w:r>
      <w:r w:rsidR="00D60B7E">
        <w:rPr>
          <w:rFonts w:ascii="Titillium" w:hAnsi="Titillium"/>
          <w:b/>
          <w:iCs/>
          <w:sz w:val="18"/>
          <w:szCs w:val="18"/>
        </w:rPr>
        <w:t xml:space="preserve">: </w:t>
      </w:r>
      <w:r w:rsidR="00D60B7E" w:rsidRPr="002D1FAA">
        <w:rPr>
          <w:rFonts w:ascii="Titillium" w:hAnsi="Titillium"/>
          <w:bCs/>
          <w:iCs/>
          <w:sz w:val="18"/>
          <w:szCs w:val="18"/>
        </w:rPr>
        <w:t>la Stazione Appaltante si riserva la facoltà</w:t>
      </w:r>
      <w:r w:rsidR="002D1FAA" w:rsidRPr="002D1FAA">
        <w:rPr>
          <w:rFonts w:ascii="Titillium" w:hAnsi="Titillium"/>
          <w:bCs/>
          <w:iCs/>
          <w:sz w:val="18"/>
          <w:szCs w:val="18"/>
        </w:rPr>
        <w:t xml:space="preserve"> di attivare una proroga contrattuale</w:t>
      </w:r>
      <w:r w:rsidRPr="002D1FAA">
        <w:rPr>
          <w:rFonts w:ascii="Titillium" w:hAnsi="Titillium"/>
          <w:bCs/>
          <w:iCs/>
          <w:sz w:val="18"/>
          <w:szCs w:val="18"/>
        </w:rPr>
        <w:t xml:space="preserve"> per un periodo massimo di 1 anno scolastico, alle stesse condizioni di aggiudicazione o alle condizioni di mercato ove più favorevoli per la stazione appaltante qualora si riscontri la validità e la qualità dei servizi espletati dal soggetto medesimo, con un preavviso da inviare all’Appaltatore aggiudicatario  del servizio di 30 giorni prima della scadenza del contratto stesso. Si presume un costo pari ad euro 60.000,00</w:t>
      </w:r>
    </w:p>
    <w:p w14:paraId="66DB6C88" w14:textId="77777777" w:rsidR="00B063AE" w:rsidRDefault="00B063AE" w:rsidP="009F79D8">
      <w:pPr>
        <w:spacing w:before="60" w:after="60"/>
        <w:rPr>
          <w:rFonts w:ascii="Titillium" w:hAnsi="Titillium"/>
          <w:b/>
          <w:iCs/>
          <w:sz w:val="18"/>
          <w:szCs w:val="18"/>
        </w:rPr>
      </w:pPr>
    </w:p>
    <w:p w14:paraId="2331A986" w14:textId="71FBE05E" w:rsidR="009F79D8" w:rsidRPr="009F79D8" w:rsidRDefault="009F79D8" w:rsidP="009F79D8">
      <w:pPr>
        <w:spacing w:before="60" w:after="60"/>
        <w:rPr>
          <w:rFonts w:ascii="Titillium" w:hAnsi="Titillium"/>
          <w:b/>
          <w:iCs/>
          <w:sz w:val="18"/>
          <w:szCs w:val="18"/>
        </w:rPr>
      </w:pPr>
      <w:r w:rsidRPr="009F79D8">
        <w:rPr>
          <w:rFonts w:ascii="Titillium" w:hAnsi="Titillium"/>
          <w:b/>
          <w:iCs/>
          <w:sz w:val="18"/>
          <w:szCs w:val="18"/>
        </w:rPr>
        <w:t>Opzione di proroga tecnica ai sensi dell’art. 120, comma 11 del Codice</w:t>
      </w:r>
      <w:r w:rsidRPr="009F79D8">
        <w:rPr>
          <w:rFonts w:ascii="Titillium" w:hAnsi="Titillium"/>
          <w:bCs/>
          <w:iCs/>
          <w:sz w:val="18"/>
          <w:szCs w:val="18"/>
        </w:rPr>
        <w:t xml:space="preserve">: la Stazione Appaltante, alla scadenza del contratto d’appalto, si riserva la facoltà di disporre una proroga tecnica nella misura strettamente necessaria all’affidamento del nuovo appalto, per un periodo comunque non superiore a </w:t>
      </w:r>
      <w:r w:rsidR="00B063AE">
        <w:rPr>
          <w:rFonts w:ascii="Titillium" w:hAnsi="Titillium"/>
          <w:bCs/>
          <w:iCs/>
          <w:sz w:val="18"/>
          <w:szCs w:val="18"/>
        </w:rPr>
        <w:t>6</w:t>
      </w:r>
      <w:r w:rsidRPr="009F79D8">
        <w:rPr>
          <w:rFonts w:ascii="Titillium" w:hAnsi="Titillium"/>
          <w:bCs/>
          <w:iCs/>
          <w:sz w:val="18"/>
          <w:szCs w:val="18"/>
        </w:rPr>
        <w:t xml:space="preserve"> (</w:t>
      </w:r>
      <w:r w:rsidR="00B063AE">
        <w:rPr>
          <w:rFonts w:ascii="Titillium" w:hAnsi="Titillium"/>
          <w:bCs/>
          <w:iCs/>
          <w:sz w:val="18"/>
          <w:szCs w:val="18"/>
        </w:rPr>
        <w:t>sei</w:t>
      </w:r>
      <w:r w:rsidRPr="009F79D8">
        <w:rPr>
          <w:rFonts w:ascii="Titillium" w:hAnsi="Titillium"/>
          <w:bCs/>
          <w:iCs/>
          <w:sz w:val="18"/>
          <w:szCs w:val="18"/>
        </w:rPr>
        <w:t>) mesi. In tal caso, il contraente è tenuto all’esecuzione delle prestazioni oggetto del contratto agli stessi prezzi, patti e condizioni, o più favorevoli per il Comune;</w:t>
      </w:r>
      <w:r w:rsidRPr="009F79D8">
        <w:t xml:space="preserve"> </w:t>
      </w:r>
      <w:r w:rsidRPr="009F79D8">
        <w:rPr>
          <w:rFonts w:ascii="Titillium" w:hAnsi="Titillium"/>
          <w:bCs/>
          <w:iCs/>
          <w:sz w:val="18"/>
          <w:szCs w:val="18"/>
        </w:rPr>
        <w:t xml:space="preserve">l’importo stimato di tale opzione è pari a € </w:t>
      </w:r>
      <w:r w:rsidR="00B063AE">
        <w:rPr>
          <w:rFonts w:ascii="Titillium" w:hAnsi="Titillium"/>
          <w:bCs/>
          <w:iCs/>
          <w:sz w:val="18"/>
          <w:szCs w:val="18"/>
        </w:rPr>
        <w:t>30</w:t>
      </w:r>
      <w:r w:rsidR="00CB164D" w:rsidRPr="00CB164D">
        <w:rPr>
          <w:rFonts w:ascii="Titillium" w:hAnsi="Titillium"/>
          <w:bCs/>
          <w:iCs/>
          <w:sz w:val="18"/>
          <w:szCs w:val="18"/>
        </w:rPr>
        <w:t>.</w:t>
      </w:r>
      <w:r w:rsidR="00B063AE">
        <w:rPr>
          <w:rFonts w:ascii="Titillium" w:hAnsi="Titillium"/>
          <w:bCs/>
          <w:iCs/>
          <w:sz w:val="18"/>
          <w:szCs w:val="18"/>
        </w:rPr>
        <w:t>000</w:t>
      </w:r>
      <w:r w:rsidR="00CB164D" w:rsidRPr="00CB164D">
        <w:rPr>
          <w:rFonts w:ascii="Titillium" w:hAnsi="Titillium"/>
          <w:bCs/>
          <w:iCs/>
          <w:sz w:val="18"/>
          <w:szCs w:val="18"/>
        </w:rPr>
        <w:t>,00</w:t>
      </w:r>
      <w:r w:rsidRPr="009F79D8">
        <w:rPr>
          <w:rFonts w:ascii="Titillium" w:hAnsi="Titillium"/>
          <w:bCs/>
          <w:iCs/>
          <w:sz w:val="18"/>
          <w:szCs w:val="18"/>
        </w:rPr>
        <w:t>, al netto di Iva.</w:t>
      </w:r>
    </w:p>
    <w:p w14:paraId="43414EB9" w14:textId="77777777" w:rsidR="009F79D8" w:rsidRPr="009F79D8" w:rsidRDefault="009F79D8" w:rsidP="009F79D8">
      <w:pPr>
        <w:spacing w:before="60" w:after="60"/>
        <w:rPr>
          <w:rFonts w:ascii="Titillium" w:hAnsi="Titillium"/>
          <w:b/>
          <w:iCs/>
          <w:sz w:val="18"/>
          <w:szCs w:val="18"/>
        </w:rPr>
      </w:pPr>
    </w:p>
    <w:p w14:paraId="3B75EF44" w14:textId="77777777" w:rsidR="009F79D8" w:rsidRPr="009F79D8" w:rsidRDefault="009F79D8" w:rsidP="009F79D8">
      <w:pPr>
        <w:spacing w:before="60" w:after="60"/>
        <w:rPr>
          <w:rFonts w:ascii="Titillium" w:hAnsi="Titillium"/>
          <w:bCs/>
          <w:iCs/>
          <w:sz w:val="18"/>
          <w:szCs w:val="18"/>
        </w:rPr>
      </w:pPr>
      <w:r w:rsidRPr="009F79D8">
        <w:rPr>
          <w:rFonts w:ascii="Titillium" w:hAnsi="Titillium"/>
          <w:b/>
          <w:iCs/>
          <w:sz w:val="18"/>
          <w:szCs w:val="18"/>
        </w:rPr>
        <w:t xml:space="preserve">Variazione fino a concorrenza del quinto dell’importo del contratto, ai sensi dell’art. 120, comma 9 del Codice: </w:t>
      </w:r>
      <w:r w:rsidRPr="009F79D8">
        <w:rPr>
          <w:rFonts w:ascii="Titillium" w:hAnsi="Titillium"/>
          <w:bCs/>
          <w:iCs/>
          <w:sz w:val="18"/>
          <w:szCs w:val="18"/>
        </w:rPr>
        <w:t xml:space="preserve">qualora in corso di esecuzione si renda necessario un aumento o una diminuzione delle prestazioni fino alla concorrenza del quinto dell'importo del contratto, la Stazione Appaltante può imporre all'appaltatore l'esecuzione alle condizioni originariamente previste. In tal caso l'appaltatore non può fare valere il diritto alla risoluzione del contratto. </w:t>
      </w:r>
    </w:p>
    <w:p w14:paraId="3668D84C" w14:textId="65A9ADEF" w:rsidR="009F79D8" w:rsidRPr="009F79D8" w:rsidRDefault="009F79D8" w:rsidP="009F79D8">
      <w:pPr>
        <w:autoSpaceDN w:val="0"/>
        <w:snapToGrid w:val="0"/>
        <w:spacing w:after="240"/>
        <w:textAlignment w:val="baseline"/>
        <w:rPr>
          <w:rFonts w:ascii="Titillium" w:hAnsi="Titillium" w:cs="Tahoma"/>
          <w:i/>
          <w:sz w:val="18"/>
          <w:szCs w:val="18"/>
        </w:rPr>
      </w:pPr>
      <w:r w:rsidRPr="009F79D8">
        <w:rPr>
          <w:rFonts w:ascii="Titillium" w:hAnsi="Titillium" w:cs="Tahoma"/>
          <w:b/>
          <w:sz w:val="18"/>
          <w:szCs w:val="18"/>
          <w:u w:val="single"/>
        </w:rPr>
        <w:lastRenderedPageBreak/>
        <w:t>Il valore complessivo stimato dell’appalto</w:t>
      </w:r>
      <w:r w:rsidR="00D53D2A">
        <w:rPr>
          <w:rFonts w:ascii="Titillium" w:hAnsi="Titillium" w:cs="Tahoma"/>
          <w:b/>
          <w:sz w:val="18"/>
          <w:szCs w:val="18"/>
          <w:u w:val="single"/>
        </w:rPr>
        <w:t xml:space="preserve"> è pari a € </w:t>
      </w:r>
      <w:r w:rsidR="002D1FAA">
        <w:rPr>
          <w:rFonts w:ascii="Titillium" w:hAnsi="Titillium" w:cs="Tahoma"/>
          <w:b/>
          <w:sz w:val="18"/>
          <w:szCs w:val="18"/>
          <w:u w:val="single"/>
        </w:rPr>
        <w:t>342</w:t>
      </w:r>
      <w:r w:rsidR="00144854" w:rsidRPr="00144854">
        <w:rPr>
          <w:rFonts w:ascii="Titillium" w:hAnsi="Titillium" w:cs="Tahoma"/>
          <w:b/>
          <w:sz w:val="18"/>
          <w:szCs w:val="18"/>
          <w:u w:val="single"/>
        </w:rPr>
        <w:t>.</w:t>
      </w:r>
      <w:r w:rsidR="002D1FAA">
        <w:rPr>
          <w:rFonts w:ascii="Titillium" w:hAnsi="Titillium" w:cs="Tahoma"/>
          <w:b/>
          <w:sz w:val="18"/>
          <w:szCs w:val="18"/>
          <w:u w:val="single"/>
        </w:rPr>
        <w:t>000</w:t>
      </w:r>
      <w:r w:rsidR="00144854" w:rsidRPr="00144854">
        <w:rPr>
          <w:rFonts w:ascii="Titillium" w:hAnsi="Titillium" w:cs="Tahoma"/>
          <w:b/>
          <w:sz w:val="18"/>
          <w:szCs w:val="18"/>
          <w:u w:val="single"/>
        </w:rPr>
        <w:t>,00</w:t>
      </w:r>
      <w:r w:rsidRPr="009F79D8">
        <w:rPr>
          <w:rFonts w:ascii="Titillium" w:hAnsi="Titillium" w:cs="Tahoma"/>
          <w:b/>
          <w:sz w:val="18"/>
          <w:szCs w:val="18"/>
          <w:u w:val="single"/>
        </w:rPr>
        <w:t>, al netto di Iva e/o di altre imposte e contributi di legge, così suddiviso</w:t>
      </w:r>
      <w:r w:rsidRPr="009F79D8">
        <w:rPr>
          <w:rFonts w:ascii="Titillium" w:hAnsi="Titillium" w:cs="Tahoma"/>
          <w:i/>
          <w:sz w:val="18"/>
          <w:szCs w:val="18"/>
        </w:rPr>
        <w:t>:</w:t>
      </w:r>
    </w:p>
    <w:tbl>
      <w:tblPr>
        <w:tblStyle w:val="Grigliatabella"/>
        <w:tblW w:w="0" w:type="auto"/>
        <w:tblLook w:val="04A0" w:firstRow="1" w:lastRow="0" w:firstColumn="1" w:lastColumn="0" w:noHBand="0" w:noVBand="1"/>
      </w:tblPr>
      <w:tblGrid>
        <w:gridCol w:w="6655"/>
        <w:gridCol w:w="2271"/>
      </w:tblGrid>
      <w:tr w:rsidR="009F79D8" w:rsidRPr="009F79D8" w14:paraId="0A013933" w14:textId="77777777" w:rsidTr="00D12710">
        <w:tc>
          <w:tcPr>
            <w:tcW w:w="6655" w:type="dxa"/>
            <w:tcBorders>
              <w:top w:val="single" w:sz="4" w:space="0" w:color="auto"/>
              <w:left w:val="single" w:sz="4" w:space="0" w:color="auto"/>
              <w:bottom w:val="single" w:sz="4" w:space="0" w:color="auto"/>
              <w:right w:val="single" w:sz="4" w:space="0" w:color="auto"/>
            </w:tcBorders>
          </w:tcPr>
          <w:p w14:paraId="6F3EB838" w14:textId="77777777" w:rsidR="009F79D8" w:rsidRPr="009F79D8" w:rsidRDefault="009F79D8" w:rsidP="009F79D8">
            <w:pPr>
              <w:rPr>
                <w:rFonts w:ascii="Titillium" w:hAnsi="Titillium"/>
                <w:sz w:val="18"/>
                <w:szCs w:val="18"/>
                <w:lang w:eastAsia="it-IT"/>
              </w:rPr>
            </w:pPr>
            <w:r w:rsidRPr="009F79D8">
              <w:rPr>
                <w:rFonts w:ascii="Titillium" w:hAnsi="Titillium"/>
                <w:sz w:val="18"/>
                <w:szCs w:val="18"/>
                <w:lang w:eastAsia="it-IT"/>
              </w:rPr>
              <w:t>Importo a base di gara per l’intera durata dell’appalto</w:t>
            </w:r>
          </w:p>
        </w:tc>
        <w:tc>
          <w:tcPr>
            <w:tcW w:w="2271" w:type="dxa"/>
            <w:tcBorders>
              <w:top w:val="single" w:sz="4" w:space="0" w:color="auto"/>
              <w:left w:val="single" w:sz="4" w:space="0" w:color="auto"/>
              <w:bottom w:val="single" w:sz="4" w:space="0" w:color="auto"/>
              <w:right w:val="single" w:sz="4" w:space="0" w:color="auto"/>
            </w:tcBorders>
            <w:vAlign w:val="center"/>
          </w:tcPr>
          <w:p w14:paraId="542E29AA" w14:textId="4CF4CE4B" w:rsidR="009F79D8" w:rsidRPr="009F79D8" w:rsidRDefault="009F79D8" w:rsidP="00D12710">
            <w:pPr>
              <w:jc w:val="right"/>
              <w:rPr>
                <w:rFonts w:ascii="Titillium" w:hAnsi="Titillium"/>
                <w:sz w:val="18"/>
                <w:szCs w:val="18"/>
                <w:lang w:eastAsia="it-IT"/>
              </w:rPr>
            </w:pPr>
            <w:r w:rsidRPr="009F79D8">
              <w:rPr>
                <w:rFonts w:ascii="Titillium" w:hAnsi="Titillium"/>
                <w:b/>
                <w:bCs/>
                <w:sz w:val="18"/>
                <w:szCs w:val="18"/>
                <w:lang w:eastAsia="it-IT"/>
              </w:rPr>
              <w:t xml:space="preserve">€ </w:t>
            </w:r>
            <w:r w:rsidR="009D6682">
              <w:rPr>
                <w:rFonts w:ascii="Titillium" w:hAnsi="Titillium"/>
                <w:b/>
                <w:bCs/>
                <w:sz w:val="18"/>
                <w:szCs w:val="18"/>
                <w:lang w:eastAsia="it-IT"/>
              </w:rPr>
              <w:t xml:space="preserve">    </w:t>
            </w:r>
            <w:r w:rsidR="002D1FAA">
              <w:rPr>
                <w:rFonts w:ascii="Titillium" w:hAnsi="Titillium"/>
                <w:b/>
                <w:bCs/>
                <w:sz w:val="18"/>
                <w:szCs w:val="18"/>
                <w:lang w:eastAsia="it-IT"/>
              </w:rPr>
              <w:t>210</w:t>
            </w:r>
            <w:r w:rsidR="0087310D" w:rsidRPr="0087310D">
              <w:rPr>
                <w:rFonts w:ascii="Titillium" w:hAnsi="Titillium"/>
                <w:b/>
                <w:bCs/>
                <w:sz w:val="18"/>
                <w:szCs w:val="18"/>
                <w:lang w:eastAsia="it-IT"/>
              </w:rPr>
              <w:t>.</w:t>
            </w:r>
            <w:r w:rsidR="002D1FAA">
              <w:rPr>
                <w:rFonts w:ascii="Titillium" w:hAnsi="Titillium"/>
                <w:b/>
                <w:bCs/>
                <w:sz w:val="18"/>
                <w:szCs w:val="18"/>
                <w:lang w:eastAsia="it-IT"/>
              </w:rPr>
              <w:t>000</w:t>
            </w:r>
            <w:r w:rsidR="0087310D" w:rsidRPr="0087310D">
              <w:rPr>
                <w:rFonts w:ascii="Titillium" w:hAnsi="Titillium"/>
                <w:b/>
                <w:bCs/>
                <w:sz w:val="18"/>
                <w:szCs w:val="18"/>
                <w:lang w:eastAsia="it-IT"/>
              </w:rPr>
              <w:t>,00</w:t>
            </w:r>
          </w:p>
        </w:tc>
      </w:tr>
      <w:tr w:rsidR="002D1FAA" w:rsidRPr="009F79D8" w14:paraId="7E47B8A4" w14:textId="77777777" w:rsidTr="00D12710">
        <w:tc>
          <w:tcPr>
            <w:tcW w:w="6655" w:type="dxa"/>
            <w:tcBorders>
              <w:top w:val="single" w:sz="4" w:space="0" w:color="auto"/>
              <w:left w:val="single" w:sz="4" w:space="0" w:color="auto"/>
              <w:bottom w:val="single" w:sz="4" w:space="0" w:color="auto"/>
              <w:right w:val="single" w:sz="4" w:space="0" w:color="auto"/>
            </w:tcBorders>
          </w:tcPr>
          <w:p w14:paraId="253C2D99" w14:textId="797D6D20" w:rsidR="002D1FAA" w:rsidRPr="009F79D8" w:rsidRDefault="00CA35D0" w:rsidP="009F79D8">
            <w:pPr>
              <w:rPr>
                <w:rFonts w:ascii="Titillium" w:hAnsi="Titillium"/>
                <w:sz w:val="18"/>
                <w:szCs w:val="18"/>
                <w:lang w:eastAsia="it-IT"/>
              </w:rPr>
            </w:pPr>
            <w:r>
              <w:rPr>
                <w:rFonts w:ascii="Titillium" w:hAnsi="Titillium"/>
                <w:sz w:val="18"/>
                <w:szCs w:val="18"/>
                <w:lang w:eastAsia="it-IT"/>
              </w:rPr>
              <w:t>Opzione di proroga contrattuale ex art. 120 c</w:t>
            </w:r>
            <w:r w:rsidR="0070385A">
              <w:rPr>
                <w:rFonts w:ascii="Titillium" w:hAnsi="Titillium"/>
                <w:sz w:val="18"/>
                <w:szCs w:val="18"/>
                <w:lang w:eastAsia="it-IT"/>
              </w:rPr>
              <w:t xml:space="preserve"> 10 del D-Lgs. 36/2023</w:t>
            </w:r>
          </w:p>
        </w:tc>
        <w:tc>
          <w:tcPr>
            <w:tcW w:w="2271" w:type="dxa"/>
            <w:tcBorders>
              <w:top w:val="single" w:sz="4" w:space="0" w:color="auto"/>
              <w:left w:val="single" w:sz="4" w:space="0" w:color="auto"/>
              <w:bottom w:val="single" w:sz="4" w:space="0" w:color="auto"/>
              <w:right w:val="single" w:sz="4" w:space="0" w:color="auto"/>
            </w:tcBorders>
            <w:vAlign w:val="center"/>
          </w:tcPr>
          <w:p w14:paraId="10AE0021" w14:textId="0F69A6B2" w:rsidR="002D1FAA" w:rsidRPr="00CA35D0" w:rsidRDefault="00CA35D0" w:rsidP="00D12710">
            <w:pPr>
              <w:jc w:val="right"/>
              <w:rPr>
                <w:rFonts w:ascii="Titillium" w:hAnsi="Titillium"/>
                <w:sz w:val="18"/>
                <w:szCs w:val="18"/>
                <w:lang w:eastAsia="it-IT"/>
              </w:rPr>
            </w:pPr>
            <w:r w:rsidRPr="00CA35D0">
              <w:rPr>
                <w:rFonts w:ascii="Titillium" w:hAnsi="Titillium"/>
                <w:sz w:val="18"/>
                <w:szCs w:val="18"/>
                <w:lang w:eastAsia="it-IT"/>
              </w:rPr>
              <w:t>€</w:t>
            </w:r>
            <w:r w:rsidR="00D12710">
              <w:rPr>
                <w:rFonts w:ascii="Titillium" w:hAnsi="Titillium"/>
                <w:sz w:val="18"/>
                <w:szCs w:val="18"/>
                <w:lang w:eastAsia="it-IT"/>
              </w:rPr>
              <w:t xml:space="preserve"> </w:t>
            </w:r>
            <w:r w:rsidRPr="00CA35D0">
              <w:rPr>
                <w:rFonts w:ascii="Titillium" w:hAnsi="Titillium"/>
                <w:sz w:val="18"/>
                <w:szCs w:val="18"/>
                <w:lang w:eastAsia="it-IT"/>
              </w:rPr>
              <w:t xml:space="preserve">      60.000,00</w:t>
            </w:r>
          </w:p>
        </w:tc>
      </w:tr>
      <w:tr w:rsidR="009F79D8" w:rsidRPr="009F79D8" w14:paraId="68E86049" w14:textId="77777777" w:rsidTr="00D12710">
        <w:tc>
          <w:tcPr>
            <w:tcW w:w="6655" w:type="dxa"/>
            <w:tcBorders>
              <w:top w:val="single" w:sz="4" w:space="0" w:color="auto"/>
              <w:left w:val="single" w:sz="4" w:space="0" w:color="auto"/>
              <w:bottom w:val="single" w:sz="4" w:space="0" w:color="auto"/>
              <w:right w:val="single" w:sz="4" w:space="0" w:color="auto"/>
            </w:tcBorders>
          </w:tcPr>
          <w:p w14:paraId="6BFC1638" w14:textId="77777777" w:rsidR="009F79D8" w:rsidRPr="009F79D8" w:rsidRDefault="009F79D8" w:rsidP="009F79D8">
            <w:pPr>
              <w:rPr>
                <w:rFonts w:ascii="Titillium" w:hAnsi="Titillium"/>
                <w:sz w:val="18"/>
                <w:szCs w:val="18"/>
                <w:lang w:eastAsia="it-IT"/>
              </w:rPr>
            </w:pPr>
            <w:r w:rsidRPr="009F79D8">
              <w:rPr>
                <w:rFonts w:ascii="Titillium" w:hAnsi="Titillium"/>
                <w:sz w:val="18"/>
                <w:szCs w:val="18"/>
                <w:lang w:eastAsia="it-IT"/>
              </w:rPr>
              <w:t>Opzione proroga tecnica ex art. 120 c. 11 del D.Lgs. 36/2023</w:t>
            </w:r>
          </w:p>
        </w:tc>
        <w:tc>
          <w:tcPr>
            <w:tcW w:w="2271" w:type="dxa"/>
            <w:tcBorders>
              <w:top w:val="single" w:sz="4" w:space="0" w:color="auto"/>
              <w:left w:val="single" w:sz="4" w:space="0" w:color="auto"/>
              <w:bottom w:val="single" w:sz="4" w:space="0" w:color="auto"/>
              <w:right w:val="single" w:sz="4" w:space="0" w:color="auto"/>
            </w:tcBorders>
            <w:vAlign w:val="center"/>
          </w:tcPr>
          <w:p w14:paraId="40ED4121" w14:textId="632CA78B" w:rsidR="009F79D8" w:rsidRPr="009F79D8" w:rsidRDefault="009F79D8" w:rsidP="00D12710">
            <w:pPr>
              <w:jc w:val="right"/>
              <w:rPr>
                <w:rFonts w:ascii="Titillium" w:hAnsi="Titillium"/>
                <w:sz w:val="18"/>
                <w:szCs w:val="18"/>
                <w:lang w:eastAsia="it-IT"/>
              </w:rPr>
            </w:pPr>
            <w:r w:rsidRPr="009F79D8">
              <w:rPr>
                <w:rFonts w:ascii="Titillium" w:hAnsi="Titillium"/>
                <w:sz w:val="18"/>
                <w:szCs w:val="18"/>
                <w:lang w:eastAsia="it-IT"/>
              </w:rPr>
              <w:t xml:space="preserve">€ </w:t>
            </w:r>
            <w:r w:rsidR="00D12710">
              <w:rPr>
                <w:rFonts w:ascii="Titillium" w:hAnsi="Titillium"/>
                <w:sz w:val="18"/>
                <w:szCs w:val="18"/>
                <w:lang w:eastAsia="it-IT"/>
              </w:rPr>
              <w:t xml:space="preserve"> </w:t>
            </w:r>
            <w:r w:rsidRPr="009F79D8">
              <w:rPr>
                <w:rFonts w:ascii="Titillium" w:hAnsi="Titillium"/>
                <w:sz w:val="18"/>
                <w:szCs w:val="18"/>
                <w:lang w:eastAsia="it-IT"/>
              </w:rPr>
              <w:t xml:space="preserve">    </w:t>
            </w:r>
            <w:r w:rsidR="00FF1F08">
              <w:rPr>
                <w:rFonts w:ascii="Titillium" w:hAnsi="Titillium"/>
                <w:sz w:val="18"/>
                <w:szCs w:val="18"/>
                <w:lang w:eastAsia="it-IT"/>
              </w:rPr>
              <w:t xml:space="preserve"> </w:t>
            </w:r>
            <w:r w:rsidR="0070385A">
              <w:rPr>
                <w:rFonts w:ascii="Titillium" w:hAnsi="Titillium"/>
                <w:sz w:val="18"/>
                <w:szCs w:val="18"/>
                <w:lang w:eastAsia="it-IT"/>
              </w:rPr>
              <w:t>30</w:t>
            </w:r>
            <w:r w:rsidR="0087310D" w:rsidRPr="0087310D">
              <w:rPr>
                <w:rFonts w:ascii="Titillium" w:hAnsi="Titillium"/>
                <w:sz w:val="18"/>
                <w:szCs w:val="18"/>
                <w:lang w:eastAsia="it-IT"/>
              </w:rPr>
              <w:t>.</w:t>
            </w:r>
            <w:r w:rsidR="0070385A">
              <w:rPr>
                <w:rFonts w:ascii="Titillium" w:hAnsi="Titillium"/>
                <w:sz w:val="18"/>
                <w:szCs w:val="18"/>
                <w:lang w:eastAsia="it-IT"/>
              </w:rPr>
              <w:t>000</w:t>
            </w:r>
            <w:r w:rsidR="0087310D" w:rsidRPr="0087310D">
              <w:rPr>
                <w:rFonts w:ascii="Titillium" w:hAnsi="Titillium"/>
                <w:sz w:val="18"/>
                <w:szCs w:val="18"/>
                <w:lang w:eastAsia="it-IT"/>
              </w:rPr>
              <w:t>,</w:t>
            </w:r>
            <w:r w:rsidR="0070385A">
              <w:rPr>
                <w:rFonts w:ascii="Titillium" w:hAnsi="Titillium"/>
                <w:sz w:val="18"/>
                <w:szCs w:val="18"/>
                <w:lang w:eastAsia="it-IT"/>
              </w:rPr>
              <w:t>00</w:t>
            </w:r>
          </w:p>
        </w:tc>
      </w:tr>
      <w:tr w:rsidR="009F79D8" w:rsidRPr="009F79D8" w14:paraId="535D30A0" w14:textId="77777777" w:rsidTr="00D12710">
        <w:tc>
          <w:tcPr>
            <w:tcW w:w="6655" w:type="dxa"/>
            <w:tcBorders>
              <w:top w:val="single" w:sz="4" w:space="0" w:color="auto"/>
              <w:left w:val="single" w:sz="4" w:space="0" w:color="auto"/>
              <w:bottom w:val="single" w:sz="4" w:space="0" w:color="auto"/>
              <w:right w:val="single" w:sz="4" w:space="0" w:color="auto"/>
            </w:tcBorders>
          </w:tcPr>
          <w:p w14:paraId="35C2AD6E" w14:textId="77777777" w:rsidR="009F79D8" w:rsidRPr="009F79D8" w:rsidRDefault="009F79D8" w:rsidP="009F79D8">
            <w:pPr>
              <w:rPr>
                <w:rFonts w:ascii="Titillium" w:hAnsi="Titillium"/>
                <w:sz w:val="18"/>
                <w:szCs w:val="18"/>
                <w:lang w:eastAsia="it-IT"/>
              </w:rPr>
            </w:pPr>
            <w:r w:rsidRPr="009F79D8">
              <w:rPr>
                <w:rFonts w:ascii="Titillium" w:hAnsi="Titillium"/>
                <w:sz w:val="18"/>
                <w:szCs w:val="18"/>
                <w:lang w:eastAsia="it-IT"/>
              </w:rPr>
              <w:t>Opzione del quinto in aumento ex art. 120 c. 9 del D.Lgs. 36/2023</w:t>
            </w:r>
          </w:p>
        </w:tc>
        <w:tc>
          <w:tcPr>
            <w:tcW w:w="2271" w:type="dxa"/>
            <w:tcBorders>
              <w:top w:val="single" w:sz="4" w:space="0" w:color="auto"/>
              <w:left w:val="single" w:sz="4" w:space="0" w:color="auto"/>
              <w:bottom w:val="single" w:sz="4" w:space="0" w:color="auto"/>
              <w:right w:val="single" w:sz="4" w:space="0" w:color="auto"/>
            </w:tcBorders>
            <w:vAlign w:val="center"/>
          </w:tcPr>
          <w:p w14:paraId="088437CC" w14:textId="43247821" w:rsidR="009F79D8" w:rsidRPr="009F79D8" w:rsidRDefault="009F79D8" w:rsidP="00D12710">
            <w:pPr>
              <w:jc w:val="right"/>
              <w:rPr>
                <w:rFonts w:ascii="Titillium" w:hAnsi="Titillium"/>
                <w:sz w:val="18"/>
                <w:szCs w:val="18"/>
                <w:lang w:eastAsia="it-IT"/>
              </w:rPr>
            </w:pPr>
            <w:r w:rsidRPr="009F79D8">
              <w:rPr>
                <w:rFonts w:ascii="Titillium" w:hAnsi="Titillium"/>
                <w:sz w:val="18"/>
                <w:szCs w:val="18"/>
                <w:lang w:eastAsia="it-IT"/>
              </w:rPr>
              <w:t xml:space="preserve">€  </w:t>
            </w:r>
            <w:r w:rsidR="00D12710">
              <w:rPr>
                <w:rFonts w:ascii="Titillium" w:hAnsi="Titillium"/>
                <w:sz w:val="18"/>
                <w:szCs w:val="18"/>
                <w:lang w:eastAsia="it-IT"/>
              </w:rPr>
              <w:t xml:space="preserve"> </w:t>
            </w:r>
            <w:r w:rsidRPr="009F79D8">
              <w:rPr>
                <w:rFonts w:ascii="Titillium" w:hAnsi="Titillium"/>
                <w:sz w:val="18"/>
                <w:szCs w:val="18"/>
                <w:lang w:eastAsia="it-IT"/>
              </w:rPr>
              <w:t xml:space="preserve">   </w:t>
            </w:r>
            <w:r w:rsidR="00FF1F08">
              <w:rPr>
                <w:rFonts w:ascii="Titillium" w:hAnsi="Titillium"/>
                <w:sz w:val="18"/>
                <w:szCs w:val="18"/>
                <w:lang w:eastAsia="it-IT"/>
              </w:rPr>
              <w:t xml:space="preserve"> </w:t>
            </w:r>
            <w:r w:rsidR="0070385A">
              <w:rPr>
                <w:rFonts w:ascii="Titillium" w:hAnsi="Titillium"/>
                <w:sz w:val="18"/>
                <w:szCs w:val="18"/>
                <w:lang w:eastAsia="it-IT"/>
              </w:rPr>
              <w:t>42</w:t>
            </w:r>
            <w:r w:rsidR="00E87B0F" w:rsidRPr="00E87B0F">
              <w:rPr>
                <w:rFonts w:ascii="Titillium" w:hAnsi="Titillium"/>
                <w:sz w:val="18"/>
                <w:szCs w:val="18"/>
                <w:lang w:eastAsia="it-IT"/>
              </w:rPr>
              <w:t>.</w:t>
            </w:r>
            <w:r w:rsidR="0070385A">
              <w:rPr>
                <w:rFonts w:ascii="Titillium" w:hAnsi="Titillium"/>
                <w:sz w:val="18"/>
                <w:szCs w:val="18"/>
                <w:lang w:eastAsia="it-IT"/>
              </w:rPr>
              <w:t>000</w:t>
            </w:r>
            <w:r w:rsidR="00E87B0F" w:rsidRPr="00E87B0F">
              <w:rPr>
                <w:rFonts w:ascii="Titillium" w:hAnsi="Titillium"/>
                <w:sz w:val="18"/>
                <w:szCs w:val="18"/>
                <w:lang w:eastAsia="it-IT"/>
              </w:rPr>
              <w:t>,00</w:t>
            </w:r>
          </w:p>
        </w:tc>
      </w:tr>
      <w:tr w:rsidR="009F79D8" w:rsidRPr="009F79D8" w14:paraId="5697F357" w14:textId="77777777" w:rsidTr="00D12710">
        <w:tc>
          <w:tcPr>
            <w:tcW w:w="6655" w:type="dxa"/>
            <w:tcBorders>
              <w:top w:val="single" w:sz="4" w:space="0" w:color="auto"/>
              <w:left w:val="single" w:sz="8" w:space="0" w:color="000000"/>
              <w:bottom w:val="single" w:sz="4" w:space="0" w:color="auto"/>
              <w:right w:val="single" w:sz="8" w:space="0" w:color="000000"/>
            </w:tcBorders>
          </w:tcPr>
          <w:p w14:paraId="391F47B6" w14:textId="77777777" w:rsidR="009F79D8" w:rsidRPr="009F79D8" w:rsidRDefault="009F79D8" w:rsidP="009F79D8">
            <w:pPr>
              <w:jc w:val="left"/>
              <w:rPr>
                <w:rFonts w:ascii="Titillium" w:hAnsi="Titillium"/>
                <w:sz w:val="18"/>
                <w:szCs w:val="18"/>
                <w:lang w:eastAsia="it-IT"/>
              </w:rPr>
            </w:pPr>
            <w:r w:rsidRPr="009F79D8">
              <w:rPr>
                <w:rFonts w:ascii="Titillium" w:hAnsi="Titillium"/>
                <w:sz w:val="18"/>
                <w:szCs w:val="18"/>
                <w:lang w:eastAsia="it-IT"/>
              </w:rPr>
              <w:t>Valore presunto totale dell’appalto</w:t>
            </w:r>
          </w:p>
        </w:tc>
        <w:tc>
          <w:tcPr>
            <w:tcW w:w="2271" w:type="dxa"/>
            <w:tcBorders>
              <w:top w:val="single" w:sz="4" w:space="0" w:color="auto"/>
              <w:left w:val="single" w:sz="8" w:space="0" w:color="000000"/>
              <w:bottom w:val="single" w:sz="8" w:space="0" w:color="000000"/>
              <w:right w:val="single" w:sz="8" w:space="0" w:color="000000"/>
            </w:tcBorders>
            <w:vAlign w:val="center"/>
          </w:tcPr>
          <w:p w14:paraId="000EE5F1" w14:textId="756D2730" w:rsidR="009F79D8" w:rsidRPr="009F79D8" w:rsidRDefault="009F79D8" w:rsidP="00D12710">
            <w:pPr>
              <w:jc w:val="right"/>
              <w:rPr>
                <w:rFonts w:ascii="Titillium" w:hAnsi="Titillium"/>
                <w:i/>
                <w:iCs/>
                <w:sz w:val="18"/>
                <w:szCs w:val="18"/>
                <w:lang w:eastAsia="it-IT"/>
              </w:rPr>
            </w:pPr>
            <w:r w:rsidRPr="009F79D8">
              <w:rPr>
                <w:rFonts w:ascii="Titillium" w:hAnsi="Titillium"/>
                <w:b/>
                <w:bCs/>
                <w:sz w:val="18"/>
                <w:szCs w:val="18"/>
                <w:lang w:eastAsia="it-IT"/>
              </w:rPr>
              <w:t>€</w:t>
            </w:r>
            <w:r w:rsidR="00144854">
              <w:rPr>
                <w:rFonts w:ascii="Titillium" w:hAnsi="Titillium"/>
                <w:b/>
                <w:bCs/>
                <w:sz w:val="18"/>
                <w:szCs w:val="18"/>
                <w:lang w:eastAsia="it-IT"/>
              </w:rPr>
              <w:t xml:space="preserve"> </w:t>
            </w:r>
            <w:r w:rsidR="00FF1F08">
              <w:rPr>
                <w:rFonts w:ascii="Titillium" w:hAnsi="Titillium"/>
                <w:b/>
                <w:bCs/>
                <w:sz w:val="18"/>
                <w:szCs w:val="18"/>
                <w:lang w:eastAsia="it-IT"/>
              </w:rPr>
              <w:t xml:space="preserve">    </w:t>
            </w:r>
            <w:r w:rsidR="0070385A">
              <w:rPr>
                <w:rFonts w:ascii="Titillium" w:hAnsi="Titillium"/>
                <w:b/>
                <w:bCs/>
                <w:sz w:val="18"/>
                <w:szCs w:val="18"/>
                <w:lang w:eastAsia="it-IT"/>
              </w:rPr>
              <w:t>342</w:t>
            </w:r>
            <w:r w:rsidR="00144854" w:rsidRPr="00144854">
              <w:rPr>
                <w:rFonts w:ascii="Titillium" w:hAnsi="Titillium"/>
                <w:b/>
                <w:bCs/>
                <w:sz w:val="18"/>
                <w:szCs w:val="18"/>
                <w:lang w:eastAsia="it-IT"/>
              </w:rPr>
              <w:t>.</w:t>
            </w:r>
            <w:r w:rsidR="0070385A">
              <w:rPr>
                <w:rFonts w:ascii="Titillium" w:hAnsi="Titillium"/>
                <w:b/>
                <w:bCs/>
                <w:sz w:val="18"/>
                <w:szCs w:val="18"/>
                <w:lang w:eastAsia="it-IT"/>
              </w:rPr>
              <w:t>000</w:t>
            </w:r>
            <w:r w:rsidR="00144854" w:rsidRPr="00144854">
              <w:rPr>
                <w:rFonts w:ascii="Titillium" w:hAnsi="Titillium"/>
                <w:b/>
                <w:bCs/>
                <w:sz w:val="18"/>
                <w:szCs w:val="18"/>
                <w:lang w:eastAsia="it-IT"/>
              </w:rPr>
              <w:t>,00</w:t>
            </w:r>
          </w:p>
        </w:tc>
      </w:tr>
    </w:tbl>
    <w:p w14:paraId="38F3A98C" w14:textId="77777777" w:rsidR="00622050" w:rsidRDefault="00622050" w:rsidP="00AC78D1">
      <w:pPr>
        <w:autoSpaceDN w:val="0"/>
        <w:snapToGrid w:val="0"/>
        <w:textAlignment w:val="baseline"/>
        <w:rPr>
          <w:rFonts w:ascii="Titillium" w:hAnsi="Titillium"/>
          <w:sz w:val="18"/>
          <w:szCs w:val="18"/>
        </w:rPr>
      </w:pPr>
    </w:p>
    <w:p w14:paraId="4413BF15" w14:textId="77777777" w:rsidR="009F79D8" w:rsidRPr="009D3855" w:rsidRDefault="009F79D8" w:rsidP="00AC78D1">
      <w:pPr>
        <w:autoSpaceDN w:val="0"/>
        <w:snapToGrid w:val="0"/>
        <w:textAlignment w:val="baseline"/>
        <w:rPr>
          <w:rFonts w:ascii="Titillium" w:hAnsi="Titillium"/>
          <w:sz w:val="18"/>
          <w:szCs w:val="18"/>
        </w:rPr>
      </w:pPr>
    </w:p>
    <w:p w14:paraId="4EDB845B" w14:textId="77777777" w:rsidR="00C528A2" w:rsidRPr="00C528A2" w:rsidRDefault="00C528A2" w:rsidP="00C528A2">
      <w:pPr>
        <w:numPr>
          <w:ilvl w:val="0"/>
          <w:numId w:val="3"/>
        </w:numPr>
        <w:spacing w:before="60" w:after="60"/>
        <w:rPr>
          <w:rFonts w:ascii="Titillium" w:hAnsi="Titillium" w:cs="Calibri"/>
          <w:b/>
          <w:bCs/>
          <w:sz w:val="18"/>
          <w:szCs w:val="18"/>
          <w:lang w:val="x-none"/>
        </w:rPr>
      </w:pPr>
      <w:bookmarkStart w:id="167" w:name="_Toc498419727"/>
      <w:bookmarkStart w:id="168" w:name="_Toc497831535"/>
      <w:bookmarkStart w:id="169" w:name="_Toc139549421"/>
      <w:bookmarkEnd w:id="165"/>
      <w:bookmarkEnd w:id="167"/>
      <w:bookmarkEnd w:id="168"/>
      <w:r w:rsidRPr="00C528A2">
        <w:rPr>
          <w:rFonts w:ascii="Titillium" w:hAnsi="Titillium" w:cs="Calibri"/>
          <w:b/>
          <w:bCs/>
          <w:sz w:val="18"/>
          <w:szCs w:val="18"/>
          <w:lang w:val="x-none"/>
        </w:rPr>
        <w:t>SOGGETTI AMMESSI IN FORMA SINGOLA E ASSOCIATA</w:t>
      </w:r>
      <w:r w:rsidRPr="00C528A2">
        <w:rPr>
          <w:rFonts w:ascii="Titillium" w:hAnsi="Titillium" w:cs="Calibri"/>
          <w:b/>
          <w:bCs/>
          <w:sz w:val="18"/>
          <w:szCs w:val="18"/>
        </w:rPr>
        <w:t xml:space="preserve"> E CONDIZIONI DI PARTECIPAZIONE</w:t>
      </w:r>
      <w:bookmarkEnd w:id="169"/>
    </w:p>
    <w:p w14:paraId="2E2CB16F" w14:textId="77777777" w:rsidR="00DE063C" w:rsidRPr="00DE063C" w:rsidRDefault="00DE063C" w:rsidP="00DE063C">
      <w:pPr>
        <w:spacing w:before="60" w:after="60"/>
        <w:rPr>
          <w:rFonts w:ascii="Titillium" w:hAnsi="Titillium" w:cs="Calibri"/>
          <w:sz w:val="18"/>
          <w:szCs w:val="18"/>
        </w:rPr>
      </w:pPr>
      <w:r w:rsidRPr="00DE063C">
        <w:rPr>
          <w:rFonts w:ascii="Titillium" w:hAnsi="Titillium" w:cs="Calibri"/>
          <w:sz w:val="18"/>
          <w:szCs w:val="18"/>
        </w:rPr>
        <w:t>Gli operatori economici possono partecipare alla presente gara in forma singola o associata.</w:t>
      </w:r>
    </w:p>
    <w:p w14:paraId="039FB4A3" w14:textId="77777777" w:rsidR="00DE063C" w:rsidRPr="00DE063C" w:rsidRDefault="00DE063C" w:rsidP="00DE063C">
      <w:pPr>
        <w:spacing w:before="60" w:after="60"/>
        <w:rPr>
          <w:rFonts w:ascii="Titillium" w:hAnsi="Titillium" w:cs="Calibri"/>
          <w:sz w:val="18"/>
          <w:szCs w:val="18"/>
        </w:rPr>
      </w:pPr>
      <w:r w:rsidRPr="00DE063C">
        <w:rPr>
          <w:rFonts w:ascii="Titillium" w:hAnsi="Titillium" w:cs="Calibri"/>
          <w:sz w:val="18"/>
          <w:szCs w:val="18"/>
        </w:rPr>
        <w:t xml:space="preserve">Ai soggetti costituiti in forma associata si applicano le disposizioni di cui agli articoli 67 e 68 del Codice. </w:t>
      </w:r>
    </w:p>
    <w:p w14:paraId="20E1855E" w14:textId="77777777" w:rsidR="00DE063C" w:rsidRPr="00DE063C" w:rsidRDefault="00DE063C" w:rsidP="00DE063C">
      <w:pPr>
        <w:spacing w:before="60" w:after="60"/>
        <w:rPr>
          <w:rFonts w:ascii="Titillium" w:hAnsi="Titillium" w:cs="Courier New"/>
          <w:sz w:val="18"/>
          <w:szCs w:val="18"/>
        </w:rPr>
      </w:pPr>
      <w:r w:rsidRPr="00DE063C">
        <w:rPr>
          <w:rFonts w:ascii="Titillium" w:hAnsi="Titillium" w:cs="Courier New"/>
          <w:sz w:val="18"/>
          <w:szCs w:val="18"/>
        </w:rPr>
        <w:t>I consorzi di cui agli articoli 65, comma 2, lett.  d) del Codice che intendono eseguire le prestazioni tramite le proprie consorziate sono tenuti ad indicare in sede di offerta per quali consorziati il consorzio concorre.</w:t>
      </w:r>
    </w:p>
    <w:p w14:paraId="06C62AD0" w14:textId="77777777" w:rsidR="00DE063C" w:rsidRPr="00DE063C" w:rsidRDefault="00DE063C" w:rsidP="00DE063C">
      <w:pPr>
        <w:spacing w:before="60" w:after="60"/>
        <w:rPr>
          <w:rFonts w:ascii="Titillium" w:hAnsi="Titillium" w:cs="Courier New"/>
          <w:sz w:val="18"/>
          <w:szCs w:val="18"/>
        </w:rPr>
      </w:pPr>
      <w:r w:rsidRPr="00DE063C">
        <w:rPr>
          <w:rFonts w:ascii="Titillium" w:hAnsi="Titillium" w:cs="Courier New"/>
          <w:sz w:val="18"/>
          <w:szCs w:val="18"/>
        </w:rPr>
        <w:t>I consorzi di cui agli articoli 65, comma 2, lett. b) e c) del Codice sono tenuti ad indicare in sede di offerta per quali consorziati il consorzio concorre.</w:t>
      </w:r>
    </w:p>
    <w:p w14:paraId="7B6521DC" w14:textId="77777777" w:rsidR="00DE063C" w:rsidRPr="00DE063C" w:rsidRDefault="00DE063C" w:rsidP="00DE063C">
      <w:pPr>
        <w:spacing w:before="60" w:after="60"/>
        <w:rPr>
          <w:rFonts w:ascii="Titillium" w:hAnsi="Titillium" w:cs="Courier New"/>
          <w:sz w:val="18"/>
          <w:szCs w:val="18"/>
        </w:rPr>
      </w:pPr>
      <w:r w:rsidRPr="00DE063C">
        <w:rPr>
          <w:rFonts w:ascii="Titillium" w:hAnsi="Titillium" w:cs="Courier New"/>
          <w:sz w:val="18"/>
          <w:szCs w:val="18"/>
        </w:rPr>
        <w:t>Quando la consorziata designata è, a sua volta, un consorzio di cui all'articolo 65, comma 2, lettere b) e c), è tenuto anch'esso a indicare, in sede di offerta, le consorziate per le quali concorre.</w:t>
      </w:r>
    </w:p>
    <w:p w14:paraId="71D0ECE1" w14:textId="77777777" w:rsidR="00DE063C" w:rsidRPr="00DE063C" w:rsidRDefault="00DE063C" w:rsidP="00DE063C">
      <w:pPr>
        <w:spacing w:before="60" w:after="60"/>
        <w:rPr>
          <w:rFonts w:ascii="Titillium" w:hAnsi="Titillium" w:cs="Courier New"/>
          <w:sz w:val="18"/>
          <w:szCs w:val="18"/>
        </w:rPr>
      </w:pPr>
      <w:r w:rsidRPr="00DE063C">
        <w:rPr>
          <w:rFonts w:ascii="Titillium" w:hAnsi="Titillium" w:cs="Courier New"/>
          <w:sz w:val="18"/>
          <w:szCs w:val="18"/>
        </w:rPr>
        <w:t xml:space="preserve">È fatto divieto di partecipare a più di un consorzio stabile. </w:t>
      </w:r>
    </w:p>
    <w:p w14:paraId="771C6C98" w14:textId="77777777" w:rsidR="00DE063C" w:rsidRPr="00DE063C" w:rsidRDefault="00DE063C" w:rsidP="00DE063C">
      <w:pPr>
        <w:spacing w:before="60" w:after="60"/>
        <w:rPr>
          <w:rFonts w:ascii="Titillium" w:hAnsi="Titillium" w:cs="Calibri"/>
          <w:iCs/>
          <w:sz w:val="18"/>
          <w:szCs w:val="18"/>
        </w:rPr>
      </w:pPr>
      <w:r w:rsidRPr="00DE063C">
        <w:rPr>
          <w:rFonts w:ascii="Titillium" w:hAnsi="Titillium" w:cs="Courier New"/>
          <w:sz w:val="18"/>
          <w:szCs w:val="18"/>
        </w:rPr>
        <w:t xml:space="preserve">Il concorrente che partecipa alla gara </w:t>
      </w:r>
      <w:r w:rsidRPr="00DE063C">
        <w:rPr>
          <w:rFonts w:ascii="Titillium" w:hAnsi="Titillium" w:cs="Calibri"/>
          <w:iCs/>
          <w:sz w:val="18"/>
          <w:szCs w:val="18"/>
        </w:rPr>
        <w:t xml:space="preserve">in una delle forme di seguito indicate è escluso nel caso in cui la stazione </w:t>
      </w:r>
      <w:bookmarkStart w:id="170" w:name="_Hlk130830647"/>
      <w:r w:rsidRPr="00DE063C">
        <w:rPr>
          <w:rFonts w:ascii="Titillium" w:hAnsi="Titillium" w:cs="Calibri"/>
          <w:iCs/>
          <w:sz w:val="18"/>
          <w:szCs w:val="18"/>
        </w:rPr>
        <w:t>appaltante accerti la sussistenza di rilevanti indizi tali da far ritenere che le offerte degli operatori economici siano imputabili ad un unico centro decisiona</w:t>
      </w:r>
      <w:bookmarkEnd w:id="170"/>
      <w:r w:rsidRPr="00DE063C">
        <w:rPr>
          <w:rFonts w:ascii="Titillium" w:hAnsi="Titillium" w:cs="Calibri"/>
          <w:iCs/>
          <w:sz w:val="18"/>
          <w:szCs w:val="18"/>
        </w:rPr>
        <w:t>le a cagione di accordi intercorsi con altri operatori economici partecipanti alla stessa gara:</w:t>
      </w:r>
    </w:p>
    <w:p w14:paraId="187F02F9" w14:textId="77777777" w:rsidR="00DE063C" w:rsidRPr="00DE063C" w:rsidRDefault="00DE063C" w:rsidP="005D67CA">
      <w:pPr>
        <w:numPr>
          <w:ilvl w:val="0"/>
          <w:numId w:val="25"/>
        </w:numPr>
        <w:spacing w:before="60" w:after="60"/>
        <w:ind w:left="567"/>
        <w:rPr>
          <w:rFonts w:ascii="Titillium" w:hAnsi="Titillium" w:cs="Courier New"/>
          <w:sz w:val="18"/>
          <w:szCs w:val="18"/>
        </w:rPr>
      </w:pPr>
      <w:r w:rsidRPr="00DE063C">
        <w:rPr>
          <w:rFonts w:ascii="Titillium" w:hAnsi="Titillium" w:cs="Courier New"/>
          <w:sz w:val="18"/>
          <w:szCs w:val="18"/>
        </w:rPr>
        <w:t>partecipazione in più</w:t>
      </w:r>
      <w:r w:rsidRPr="00DE063C">
        <w:rPr>
          <w:rFonts w:ascii="Titillium" w:hAnsi="Titillium" w:cs="Courier New"/>
          <w:b/>
          <w:sz w:val="18"/>
          <w:szCs w:val="18"/>
        </w:rPr>
        <w:t xml:space="preserve"> </w:t>
      </w:r>
      <w:r w:rsidRPr="00DE063C">
        <w:rPr>
          <w:rFonts w:ascii="Titillium" w:hAnsi="Titillium" w:cs="Courier New"/>
          <w:sz w:val="18"/>
          <w:szCs w:val="18"/>
        </w:rPr>
        <w:t xml:space="preserve">di un raggruppamento temporaneo o consorzio ordinario di concorrenti o </w:t>
      </w:r>
      <w:r w:rsidRPr="00DE063C">
        <w:rPr>
          <w:rFonts w:ascii="Titillium" w:hAnsi="Titillium" w:cs="Calibri"/>
          <w:sz w:val="18"/>
          <w:szCs w:val="18"/>
        </w:rPr>
        <w:t xml:space="preserve">aggregazione di operatori economici aderenti al contratto di rete (nel prosieguo, aggregazione </w:t>
      </w:r>
      <w:r w:rsidRPr="00DE063C">
        <w:rPr>
          <w:rFonts w:ascii="Titillium" w:hAnsi="Titillium"/>
          <w:sz w:val="18"/>
          <w:szCs w:val="18"/>
        </w:rPr>
        <w:t>di reti</w:t>
      </w:r>
      <w:r w:rsidRPr="00DE063C">
        <w:rPr>
          <w:rFonts w:ascii="Titillium" w:hAnsi="Titillium" w:cs="Calibri"/>
          <w:sz w:val="18"/>
          <w:szCs w:val="18"/>
        </w:rPr>
        <w:t>sti);</w:t>
      </w:r>
    </w:p>
    <w:p w14:paraId="5BA1D8C1" w14:textId="77777777" w:rsidR="00DE063C" w:rsidRPr="00DE063C" w:rsidRDefault="00DE063C" w:rsidP="005D67CA">
      <w:pPr>
        <w:numPr>
          <w:ilvl w:val="0"/>
          <w:numId w:val="25"/>
        </w:numPr>
        <w:spacing w:before="60" w:after="60"/>
        <w:ind w:left="567"/>
        <w:rPr>
          <w:rFonts w:ascii="Titillium" w:hAnsi="Titillium" w:cs="Courier New"/>
          <w:sz w:val="18"/>
          <w:szCs w:val="18"/>
        </w:rPr>
      </w:pPr>
      <w:r w:rsidRPr="00DE063C">
        <w:rPr>
          <w:rFonts w:ascii="Titillium" w:hAnsi="Titillium" w:cs="Courier New"/>
          <w:sz w:val="18"/>
          <w:szCs w:val="18"/>
        </w:rPr>
        <w:t>partecipazione sia in raggruppamento o consorzio ordinario di concorrenti sia in forma individuale;</w:t>
      </w:r>
    </w:p>
    <w:p w14:paraId="6CC5BE6A" w14:textId="77777777" w:rsidR="00DE063C" w:rsidRDefault="00DE063C" w:rsidP="005D67CA">
      <w:pPr>
        <w:numPr>
          <w:ilvl w:val="0"/>
          <w:numId w:val="25"/>
        </w:numPr>
        <w:spacing w:before="60" w:after="60"/>
        <w:ind w:left="567"/>
        <w:rPr>
          <w:rFonts w:ascii="Titillium" w:hAnsi="Titillium" w:cs="Calibri"/>
          <w:sz w:val="18"/>
          <w:szCs w:val="18"/>
        </w:rPr>
      </w:pPr>
      <w:r w:rsidRPr="00DE063C">
        <w:rPr>
          <w:rFonts w:ascii="Titillium" w:hAnsi="Titillium" w:cs="Courier New"/>
          <w:sz w:val="18"/>
          <w:szCs w:val="18"/>
        </w:rPr>
        <w:t xml:space="preserve">partecipazione sia in aggregazione di retisti sia in forma individuale. </w:t>
      </w:r>
      <w:r w:rsidRPr="00DE063C">
        <w:rPr>
          <w:rFonts w:ascii="Titillium" w:hAnsi="Titillium" w:cs="Calibri"/>
          <w:sz w:val="18"/>
          <w:szCs w:val="18"/>
        </w:rPr>
        <w:t xml:space="preserve">Tale esclusione non si applica alle retiste </w:t>
      </w:r>
      <w:r w:rsidRPr="00DE063C">
        <w:rPr>
          <w:rFonts w:ascii="Titillium" w:hAnsi="Titillium" w:cs="Courier New"/>
          <w:sz w:val="18"/>
          <w:szCs w:val="18"/>
        </w:rPr>
        <w:t>non partecipanti all’aggregazione, le quali possono presentare offerta, per la medesima gara, in forma singola o associata;</w:t>
      </w:r>
    </w:p>
    <w:p w14:paraId="47D53562" w14:textId="3F7B0042" w:rsidR="00DE063C" w:rsidRPr="00DE063C" w:rsidRDefault="00DE063C" w:rsidP="005D67CA">
      <w:pPr>
        <w:numPr>
          <w:ilvl w:val="0"/>
          <w:numId w:val="25"/>
        </w:numPr>
        <w:spacing w:before="60" w:after="60"/>
        <w:ind w:left="567"/>
        <w:rPr>
          <w:rFonts w:ascii="Titillium" w:hAnsi="Titillium" w:cs="Calibri"/>
          <w:sz w:val="18"/>
          <w:szCs w:val="18"/>
        </w:rPr>
      </w:pPr>
      <w:r w:rsidRPr="00DE063C">
        <w:rPr>
          <w:rFonts w:ascii="Titillium" w:hAnsi="Titillium" w:cs="Courier New"/>
          <w:sz w:val="18"/>
          <w:szCs w:val="18"/>
        </w:rPr>
        <w:t>partecipazione di un consorzio di cui all’articolo 65, comma 2, lett. b), c) e d) del Codice che ha designato una consorziata esecutrice la quale, a sua volta, partecipa in una qualsiasi altra forma.</w:t>
      </w:r>
    </w:p>
    <w:p w14:paraId="596DD1EF" w14:textId="77777777" w:rsidR="00DE063C" w:rsidRPr="00DE063C" w:rsidRDefault="00DE063C" w:rsidP="00DE063C">
      <w:pPr>
        <w:spacing w:before="120" w:after="60"/>
        <w:rPr>
          <w:rFonts w:ascii="Titillium" w:hAnsi="Titillium" w:cs="Calibri"/>
          <w:sz w:val="18"/>
          <w:szCs w:val="18"/>
        </w:rPr>
      </w:pPr>
      <w:r w:rsidRPr="00DE063C">
        <w:rPr>
          <w:rFonts w:ascii="Titillium" w:hAnsi="Titillium" w:cs="Calibri"/>
          <w:sz w:val="18"/>
          <w:szCs w:val="18"/>
        </w:rPr>
        <w:t xml:space="preserve">Nel caso venga accertato quanto sopra, si provvede ad informare gli operatori economici coinvolti i quali possono, entro i giorni che verranno assegnati per la risposta, dimostrare che la circostanza non ha influito sulla gara, né è idonea a incidere sulla capacità di rispettare gli obblighi contrattuali. </w:t>
      </w:r>
    </w:p>
    <w:p w14:paraId="651B95CA" w14:textId="77777777" w:rsidR="00DE063C" w:rsidRPr="00DE063C" w:rsidRDefault="00DE063C" w:rsidP="00DE063C">
      <w:pPr>
        <w:spacing w:before="60" w:after="60"/>
        <w:rPr>
          <w:rFonts w:ascii="Titillium" w:hAnsi="Titillium" w:cs="Courier New"/>
          <w:sz w:val="18"/>
          <w:szCs w:val="18"/>
        </w:rPr>
      </w:pPr>
      <w:r w:rsidRPr="00DE063C">
        <w:rPr>
          <w:rFonts w:ascii="Titillium" w:hAnsi="Titillium" w:cs="Courier New"/>
          <w:sz w:val="18"/>
          <w:szCs w:val="18"/>
        </w:rPr>
        <w:t>Le aggregazioni di retisti di cui all’articolo 65, comma 2, lettera g) del Codice, rispettano la disciplina prevista per i raggruppamenti temporanei in quanto compatibile. In particolare:</w:t>
      </w:r>
    </w:p>
    <w:p w14:paraId="6E4E49A9" w14:textId="77777777" w:rsidR="00DE063C" w:rsidRPr="00DE063C" w:rsidRDefault="00DE063C" w:rsidP="00DE063C">
      <w:pPr>
        <w:numPr>
          <w:ilvl w:val="3"/>
          <w:numId w:val="13"/>
        </w:numPr>
        <w:spacing w:before="60" w:after="60"/>
        <w:ind w:left="567" w:hanging="284"/>
        <w:rPr>
          <w:rFonts w:ascii="Titillium" w:hAnsi="Titillium" w:cs="Courier New"/>
          <w:sz w:val="18"/>
          <w:szCs w:val="18"/>
        </w:rPr>
      </w:pPr>
      <w:r w:rsidRPr="00DE063C">
        <w:rPr>
          <w:rFonts w:ascii="Titillium" w:hAnsi="Titillium" w:cs="Courier New"/>
          <w:sz w:val="18"/>
          <w:szCs w:val="18"/>
        </w:rPr>
        <w:t>nel caso in cui la rete sia dotata di organo comune con potere di rappresentanza e soggettività giuridica (cd. Rete – soggetto), l’aggregazione di retisti partecipa a mezzo dell’organo comune, che assume il ruolo del mandatario, qualora in possesso dei relativi requisiti. L’organo comune può indicare anche solo alcuni tra i retisti per la partecipazione alla gara ma deve obbligatoriamente far parte di questi;</w:t>
      </w:r>
    </w:p>
    <w:p w14:paraId="4C6CCC15" w14:textId="77777777" w:rsidR="00DE063C" w:rsidRPr="00DE063C" w:rsidRDefault="00DE063C" w:rsidP="00DE063C">
      <w:pPr>
        <w:numPr>
          <w:ilvl w:val="3"/>
          <w:numId w:val="13"/>
        </w:numPr>
        <w:spacing w:before="60" w:after="60"/>
        <w:ind w:left="567" w:hanging="284"/>
        <w:rPr>
          <w:rFonts w:ascii="Titillium" w:hAnsi="Titillium" w:cs="Courier New"/>
          <w:sz w:val="18"/>
          <w:szCs w:val="18"/>
        </w:rPr>
      </w:pPr>
      <w:r w:rsidRPr="00DE063C">
        <w:rPr>
          <w:rFonts w:ascii="Titillium" w:hAnsi="Titillium" w:cs="Courier New"/>
          <w:sz w:val="18"/>
          <w:szCs w:val="18"/>
        </w:rPr>
        <w:t xml:space="preserve">nel caso in cui la rete sia dotata di organo comune con potere di rappresentanza ma priva di soggettività giuridica (cd. Rete – contratto), l’aggregazione di retisti partecipa a mezzo dell’organo comune, che assume il ruolo del mandatario, qualora in possesso dei requisiti previsti per la mandataria e qualora il contratto di rete rechi mandato allo stesso a presentare domanda di partecipazione o offerta per determinate tipologie di procedure di gara. L’organo comune può indicare anche solo alcuni tra i retisti per la partecipazione alla gara ma deve obbligatoriamente far parte di questi; </w:t>
      </w:r>
    </w:p>
    <w:p w14:paraId="04DE2CDB" w14:textId="77777777" w:rsidR="00DE063C" w:rsidRPr="00DE063C" w:rsidRDefault="00DE063C" w:rsidP="00DE063C">
      <w:pPr>
        <w:numPr>
          <w:ilvl w:val="3"/>
          <w:numId w:val="13"/>
        </w:numPr>
        <w:spacing w:before="60" w:after="60"/>
        <w:ind w:left="567" w:hanging="284"/>
        <w:rPr>
          <w:rFonts w:ascii="Titillium" w:hAnsi="Titillium" w:cs="Courier New"/>
          <w:sz w:val="18"/>
          <w:szCs w:val="18"/>
        </w:rPr>
      </w:pPr>
      <w:r w:rsidRPr="00DE063C">
        <w:rPr>
          <w:rFonts w:ascii="Titillium" w:hAnsi="Titillium" w:cs="Courier New"/>
          <w:sz w:val="18"/>
          <w:szCs w:val="18"/>
        </w:rPr>
        <w:t>nel caso in cui la rete sia dotata di organo comune privo di potere di rappresentanza ovvero sia sprovvista di organo comune, oppure se l’organo comune è privo dei requisiti di qualificazione, l’aggregazione di retisti partecipa nella forma del raggruppamento costituito o costituendo, con applicazione integrale delle relative regole.</w:t>
      </w:r>
    </w:p>
    <w:p w14:paraId="5A6B7E43" w14:textId="77777777" w:rsidR="00DE063C" w:rsidRPr="00DE063C" w:rsidRDefault="00DE063C" w:rsidP="00DE063C">
      <w:pPr>
        <w:spacing w:before="60" w:after="60"/>
      </w:pPr>
      <w:r w:rsidRPr="00DE063C">
        <w:rPr>
          <w:rFonts w:ascii="Titillium" w:hAnsi="Titillium" w:cs="Courier New"/>
          <w:sz w:val="18"/>
          <w:szCs w:val="18"/>
        </w:rPr>
        <w:lastRenderedPageBreak/>
        <w:t>Per tutte le tipologie di rete, la partecipazione congiunta alle gare deve risultare individuata nel contratto di rete come uno degli scopi strategici inclusi nel programma comune, mentre la durata dello stesso dovrà essere commisurata ai tempi di realizzazione dell’appalto.</w:t>
      </w:r>
    </w:p>
    <w:p w14:paraId="68D7ACB9" w14:textId="77777777" w:rsidR="00DE063C" w:rsidRPr="00DE063C" w:rsidRDefault="00DE063C" w:rsidP="00DE063C">
      <w:pPr>
        <w:spacing w:before="60" w:after="60"/>
        <w:rPr>
          <w:rFonts w:ascii="Titillium" w:hAnsi="Titillium" w:cs="Courier New"/>
          <w:sz w:val="18"/>
          <w:szCs w:val="18"/>
        </w:rPr>
      </w:pPr>
      <w:r w:rsidRPr="00DE063C">
        <w:rPr>
          <w:rFonts w:ascii="Titillium" w:hAnsi="Titillium" w:cs="Courier New"/>
          <w:sz w:val="18"/>
          <w:szCs w:val="18"/>
        </w:rPr>
        <w:t>Ad un raggruppamento temporaneo può partecipare anche un consorzio di cui all’articolo 65, comma 2, lettera b), c), d).</w:t>
      </w:r>
    </w:p>
    <w:p w14:paraId="7DA1EF1B" w14:textId="350A33FD" w:rsidR="00C528A2" w:rsidRPr="00C528A2" w:rsidRDefault="00DE063C" w:rsidP="00DE063C">
      <w:pPr>
        <w:spacing w:before="60" w:after="60"/>
      </w:pPr>
      <w:r w:rsidRPr="00DE063C">
        <w:rPr>
          <w:rFonts w:ascii="Titillium" w:hAnsi="Titillium" w:cs="Courier New"/>
          <w:sz w:val="18"/>
          <w:szCs w:val="18"/>
        </w:rPr>
        <w:t>L’impresa in concordato preventivo può concorrere anche riunita in raggruppamento temporaneo di imprese e sempre che le altre imprese aderenti al raggruppamento temporaneo di imprese non siano assoggettate ad una procedura concorsuale</w:t>
      </w:r>
      <w:r w:rsidR="00C528A2" w:rsidRPr="00C528A2">
        <w:rPr>
          <w:rFonts w:ascii="Titillium" w:hAnsi="Titillium" w:cs="Courier New"/>
          <w:sz w:val="18"/>
          <w:szCs w:val="18"/>
        </w:rPr>
        <w:t xml:space="preserve">.   </w:t>
      </w:r>
    </w:p>
    <w:p w14:paraId="5E6587E1" w14:textId="2A037F5B" w:rsidR="004C53A8" w:rsidRDefault="00870286" w:rsidP="008300A5">
      <w:pPr>
        <w:pStyle w:val="Titolo2"/>
        <w:numPr>
          <w:ilvl w:val="0"/>
          <w:numId w:val="3"/>
        </w:numPr>
        <w:ind w:left="357" w:hanging="357"/>
      </w:pPr>
      <w:bookmarkStart w:id="171" w:name="_Toc406058371"/>
      <w:bookmarkStart w:id="172" w:name="_Toc403471265"/>
      <w:bookmarkStart w:id="173" w:name="_Toc397422858"/>
      <w:bookmarkStart w:id="174" w:name="_Toc397346817"/>
      <w:bookmarkStart w:id="175" w:name="_Toc393706902"/>
      <w:bookmarkStart w:id="176" w:name="_Toc393700829"/>
      <w:bookmarkStart w:id="177" w:name="_Toc393283170"/>
      <w:bookmarkStart w:id="178" w:name="_Toc393272654"/>
      <w:bookmarkStart w:id="179" w:name="_Toc393272596"/>
      <w:bookmarkStart w:id="180" w:name="_Toc393187840"/>
      <w:bookmarkStart w:id="181" w:name="_Toc393112123"/>
      <w:bookmarkStart w:id="182" w:name="_Toc393110559"/>
      <w:bookmarkStart w:id="183" w:name="_Toc392577492"/>
      <w:bookmarkStart w:id="184" w:name="_Toc391036051"/>
      <w:bookmarkStart w:id="185" w:name="_Toc391035978"/>
      <w:bookmarkStart w:id="186" w:name="_Toc380501865"/>
      <w:bookmarkStart w:id="187" w:name="_Toc391036049"/>
      <w:bookmarkStart w:id="188" w:name="_Toc391035976"/>
      <w:bookmarkStart w:id="189" w:name="_Toc485218274"/>
      <w:bookmarkStart w:id="190" w:name="_Toc484688838"/>
      <w:bookmarkStart w:id="191" w:name="_Toc484688283"/>
      <w:bookmarkStart w:id="192" w:name="_Toc484605414"/>
      <w:bookmarkStart w:id="193" w:name="_Toc484605290"/>
      <w:bookmarkStart w:id="194" w:name="_Toc484526570"/>
      <w:bookmarkStart w:id="195" w:name="_Toc484449075"/>
      <w:bookmarkStart w:id="196" w:name="_Toc484448951"/>
      <w:bookmarkStart w:id="197" w:name="_Toc484448827"/>
      <w:bookmarkStart w:id="198" w:name="_Toc484448704"/>
      <w:bookmarkStart w:id="199" w:name="_Toc484448580"/>
      <w:bookmarkStart w:id="200" w:name="_Toc484448456"/>
      <w:bookmarkStart w:id="201" w:name="_Toc484448332"/>
      <w:bookmarkStart w:id="202" w:name="_Toc484448208"/>
      <w:bookmarkStart w:id="203" w:name="_Toc484448083"/>
      <w:bookmarkStart w:id="204" w:name="_Toc484440424"/>
      <w:bookmarkStart w:id="205" w:name="_Toc484440064"/>
      <w:bookmarkStart w:id="206" w:name="_Toc484439940"/>
      <w:bookmarkStart w:id="207" w:name="_Toc484439817"/>
      <w:bookmarkStart w:id="208" w:name="_Toc484438897"/>
      <w:bookmarkStart w:id="209" w:name="_Toc484438773"/>
      <w:bookmarkStart w:id="210" w:name="_Toc484438649"/>
      <w:bookmarkStart w:id="211" w:name="_Toc484429074"/>
      <w:bookmarkStart w:id="212" w:name="_Toc484428904"/>
      <w:bookmarkStart w:id="213" w:name="_Toc484097732"/>
      <w:bookmarkStart w:id="214" w:name="_Toc484011658"/>
      <w:bookmarkStart w:id="215" w:name="_Toc484011183"/>
      <w:bookmarkStart w:id="216" w:name="_Toc484011061"/>
      <w:bookmarkStart w:id="217" w:name="_Toc484010939"/>
      <w:bookmarkStart w:id="218" w:name="_Toc484010815"/>
      <w:bookmarkStart w:id="219" w:name="_Toc484010693"/>
      <w:bookmarkStart w:id="220" w:name="_Toc483906943"/>
      <w:bookmarkStart w:id="221" w:name="_Toc483571566"/>
      <w:bookmarkStart w:id="222" w:name="_Toc483571445"/>
      <w:bookmarkStart w:id="223" w:name="_Toc483474016"/>
      <w:bookmarkStart w:id="224" w:name="_Toc483401219"/>
      <w:bookmarkStart w:id="225" w:name="_Toc483325740"/>
      <w:bookmarkStart w:id="226" w:name="_Toc483316437"/>
      <w:bookmarkStart w:id="227" w:name="_Toc483316306"/>
      <w:bookmarkStart w:id="228" w:name="_Toc483316103"/>
      <w:bookmarkStart w:id="229" w:name="_Toc483315898"/>
      <w:bookmarkStart w:id="230" w:name="_Toc483302348"/>
      <w:bookmarkStart w:id="231" w:name="_Toc483233648"/>
      <w:bookmarkStart w:id="232" w:name="_Toc482979687"/>
      <w:bookmarkStart w:id="233" w:name="_Toc482979589"/>
      <w:bookmarkStart w:id="234" w:name="_Toc482979480"/>
      <w:bookmarkStart w:id="235" w:name="_Toc482979372"/>
      <w:bookmarkStart w:id="236" w:name="_Toc482979263"/>
      <w:bookmarkStart w:id="237" w:name="_Toc482979154"/>
      <w:bookmarkStart w:id="238" w:name="_Toc482979043"/>
      <w:bookmarkStart w:id="239" w:name="_Toc482978935"/>
      <w:bookmarkStart w:id="240" w:name="_Toc482978826"/>
      <w:bookmarkStart w:id="241" w:name="_Toc482959707"/>
      <w:bookmarkStart w:id="242" w:name="_Toc482959597"/>
      <w:bookmarkStart w:id="243" w:name="_Toc482959487"/>
      <w:bookmarkStart w:id="244" w:name="_Toc482712717"/>
      <w:bookmarkStart w:id="245" w:name="_Toc482641271"/>
      <w:bookmarkStart w:id="246" w:name="_Toc482633094"/>
      <w:bookmarkStart w:id="247" w:name="_Toc482352254"/>
      <w:bookmarkStart w:id="248" w:name="_Toc482352164"/>
      <w:bookmarkStart w:id="249" w:name="_Toc482352074"/>
      <w:bookmarkStart w:id="250" w:name="_Toc482351984"/>
      <w:bookmarkStart w:id="251" w:name="_Toc482102120"/>
      <w:bookmarkStart w:id="252" w:name="_Toc482102026"/>
      <w:bookmarkStart w:id="253" w:name="_Toc482101931"/>
      <w:bookmarkStart w:id="254" w:name="_Toc482101836"/>
      <w:bookmarkStart w:id="255" w:name="_Toc482101743"/>
      <w:bookmarkStart w:id="256" w:name="_Toc482101568"/>
      <w:bookmarkStart w:id="257" w:name="_Toc482101453"/>
      <w:bookmarkStart w:id="258" w:name="_Toc482101316"/>
      <w:bookmarkStart w:id="259" w:name="_Toc482100890"/>
      <w:bookmarkStart w:id="260" w:name="_Toc482100733"/>
      <w:bookmarkStart w:id="261" w:name="_Toc482099016"/>
      <w:bookmarkStart w:id="262" w:name="_Toc482097918"/>
      <w:bookmarkStart w:id="263" w:name="_Toc482097726"/>
      <w:bookmarkStart w:id="264" w:name="_Toc482097637"/>
      <w:bookmarkStart w:id="265" w:name="_Toc482097548"/>
      <w:bookmarkStart w:id="266" w:name="_Toc482025725"/>
      <w:bookmarkStart w:id="267" w:name="_Toc485218273"/>
      <w:bookmarkStart w:id="268" w:name="_Toc484688837"/>
      <w:bookmarkStart w:id="269" w:name="_Toc484688282"/>
      <w:bookmarkStart w:id="270" w:name="_Toc484605413"/>
      <w:bookmarkStart w:id="271" w:name="_Toc484605289"/>
      <w:bookmarkStart w:id="272" w:name="_Toc484526569"/>
      <w:bookmarkStart w:id="273" w:name="_Toc484449074"/>
      <w:bookmarkStart w:id="274" w:name="_Toc484448950"/>
      <w:bookmarkStart w:id="275" w:name="_Toc484448826"/>
      <w:bookmarkStart w:id="276" w:name="_Toc484448703"/>
      <w:bookmarkStart w:id="277" w:name="_Toc484448579"/>
      <w:bookmarkStart w:id="278" w:name="_Toc484448455"/>
      <w:bookmarkStart w:id="279" w:name="_Toc484448331"/>
      <w:bookmarkStart w:id="280" w:name="_Toc484448207"/>
      <w:bookmarkStart w:id="281" w:name="_Toc484448082"/>
      <w:bookmarkStart w:id="282" w:name="_Toc484440423"/>
      <w:bookmarkStart w:id="283" w:name="_Toc484440063"/>
      <w:bookmarkStart w:id="284" w:name="_Toc484439939"/>
      <w:bookmarkStart w:id="285" w:name="_Toc484439816"/>
      <w:bookmarkStart w:id="286" w:name="_Toc484438896"/>
      <w:bookmarkStart w:id="287" w:name="_Toc484438772"/>
      <w:bookmarkStart w:id="288" w:name="_Toc484438648"/>
      <w:bookmarkStart w:id="289" w:name="_Toc484429073"/>
      <w:bookmarkStart w:id="290" w:name="_Toc484428903"/>
      <w:bookmarkStart w:id="291" w:name="_Toc484097731"/>
      <w:bookmarkStart w:id="292" w:name="_Toc484011657"/>
      <w:bookmarkStart w:id="293" w:name="_Toc484011182"/>
      <w:bookmarkStart w:id="294" w:name="_Toc484011060"/>
      <w:bookmarkStart w:id="295" w:name="_Toc484010938"/>
      <w:bookmarkStart w:id="296" w:name="_Toc484010814"/>
      <w:bookmarkStart w:id="297" w:name="_Toc484010692"/>
      <w:bookmarkStart w:id="298" w:name="_Toc483906942"/>
      <w:bookmarkStart w:id="299" w:name="_Toc483571565"/>
      <w:bookmarkStart w:id="300" w:name="_Toc483571444"/>
      <w:bookmarkStart w:id="301" w:name="_Toc483474015"/>
      <w:bookmarkStart w:id="302" w:name="_Toc483401218"/>
      <w:bookmarkStart w:id="303" w:name="_Toc483325739"/>
      <w:bookmarkStart w:id="304" w:name="_Toc483316436"/>
      <w:bookmarkStart w:id="305" w:name="_Toc483316305"/>
      <w:bookmarkStart w:id="306" w:name="_Toc483316102"/>
      <w:bookmarkStart w:id="307" w:name="_Toc483315897"/>
      <w:bookmarkStart w:id="308" w:name="_Toc483302347"/>
      <w:bookmarkStart w:id="309" w:name="_Toc483233647"/>
      <w:bookmarkStart w:id="310" w:name="_Toc482979686"/>
      <w:bookmarkStart w:id="311" w:name="_Toc482979588"/>
      <w:bookmarkStart w:id="312" w:name="_Toc482979479"/>
      <w:bookmarkStart w:id="313" w:name="_Toc482979371"/>
      <w:bookmarkStart w:id="314" w:name="_Toc482979262"/>
      <w:bookmarkStart w:id="315" w:name="_Toc482979153"/>
      <w:bookmarkStart w:id="316" w:name="_Toc482979042"/>
      <w:bookmarkStart w:id="317" w:name="_Toc482978934"/>
      <w:bookmarkStart w:id="318" w:name="_Toc482978825"/>
      <w:bookmarkStart w:id="319" w:name="_Toc482959706"/>
      <w:bookmarkStart w:id="320" w:name="_Toc482959596"/>
      <w:bookmarkStart w:id="321" w:name="_Toc482959486"/>
      <w:bookmarkStart w:id="322" w:name="_Toc482712716"/>
      <w:bookmarkStart w:id="323" w:name="_Toc482641270"/>
      <w:bookmarkStart w:id="324" w:name="_Toc482633093"/>
      <w:bookmarkStart w:id="325" w:name="_Toc482352253"/>
      <w:bookmarkStart w:id="326" w:name="_Toc482352163"/>
      <w:bookmarkStart w:id="327" w:name="_Toc482352073"/>
      <w:bookmarkStart w:id="328" w:name="_Toc482351983"/>
      <w:bookmarkStart w:id="329" w:name="_Toc482102119"/>
      <w:bookmarkStart w:id="330" w:name="_Toc482102025"/>
      <w:bookmarkStart w:id="331" w:name="_Toc482101930"/>
      <w:bookmarkStart w:id="332" w:name="_Toc482101835"/>
      <w:bookmarkStart w:id="333" w:name="_Toc482101742"/>
      <w:bookmarkStart w:id="334" w:name="_Toc482101567"/>
      <w:bookmarkStart w:id="335" w:name="_Toc482101452"/>
      <w:bookmarkStart w:id="336" w:name="_Toc482101315"/>
      <w:bookmarkStart w:id="337" w:name="_Toc482100889"/>
      <w:bookmarkStart w:id="338" w:name="_Toc482100732"/>
      <w:bookmarkStart w:id="339" w:name="_Toc482099015"/>
      <w:bookmarkStart w:id="340" w:name="_Toc482097917"/>
      <w:bookmarkStart w:id="341" w:name="_Toc482097725"/>
      <w:bookmarkStart w:id="342" w:name="_Toc482097636"/>
      <w:bookmarkStart w:id="343" w:name="_Toc482097547"/>
      <w:bookmarkStart w:id="344" w:name="_Toc482025724"/>
      <w:bookmarkStart w:id="345" w:name="_Toc485218272"/>
      <w:bookmarkStart w:id="346" w:name="_Toc484688836"/>
      <w:bookmarkStart w:id="347" w:name="_Toc484688281"/>
      <w:bookmarkStart w:id="348" w:name="_Toc484605412"/>
      <w:bookmarkStart w:id="349" w:name="_Toc484605288"/>
      <w:bookmarkStart w:id="350" w:name="_Toc484526568"/>
      <w:bookmarkStart w:id="351" w:name="_Toc484449073"/>
      <w:bookmarkStart w:id="352" w:name="_Toc484448949"/>
      <w:bookmarkStart w:id="353" w:name="_Toc484448825"/>
      <w:bookmarkStart w:id="354" w:name="_Toc484448702"/>
      <w:bookmarkStart w:id="355" w:name="_Toc484448578"/>
      <w:bookmarkStart w:id="356" w:name="_Toc484448454"/>
      <w:bookmarkStart w:id="357" w:name="_Toc484448330"/>
      <w:bookmarkStart w:id="358" w:name="_Toc484448206"/>
      <w:bookmarkStart w:id="359" w:name="_Toc484448081"/>
      <w:bookmarkStart w:id="360" w:name="_Toc484440422"/>
      <w:bookmarkStart w:id="361" w:name="_Toc484440062"/>
      <w:bookmarkStart w:id="362" w:name="_Toc484439938"/>
      <w:bookmarkStart w:id="363" w:name="_Toc484439815"/>
      <w:bookmarkStart w:id="364" w:name="_Toc484438895"/>
      <w:bookmarkStart w:id="365" w:name="_Toc484438771"/>
      <w:bookmarkStart w:id="366" w:name="_Toc484438647"/>
      <w:bookmarkStart w:id="367" w:name="_Toc484429072"/>
      <w:bookmarkStart w:id="368" w:name="_Toc484428902"/>
      <w:bookmarkStart w:id="369" w:name="_Toc484097730"/>
      <w:bookmarkStart w:id="370" w:name="_Toc484011656"/>
      <w:bookmarkStart w:id="371" w:name="_Toc484011181"/>
      <w:bookmarkStart w:id="372" w:name="_Toc484011059"/>
      <w:bookmarkStart w:id="373" w:name="_Toc484010937"/>
      <w:bookmarkStart w:id="374" w:name="_Toc484010813"/>
      <w:bookmarkStart w:id="375" w:name="_Toc484010691"/>
      <w:bookmarkStart w:id="376" w:name="_Toc483906941"/>
      <w:bookmarkStart w:id="377" w:name="_Toc483571564"/>
      <w:bookmarkStart w:id="378" w:name="_Toc483571443"/>
      <w:bookmarkStart w:id="379" w:name="_Toc483474014"/>
      <w:bookmarkStart w:id="380" w:name="_Toc483401217"/>
      <w:bookmarkStart w:id="381" w:name="_Toc483325738"/>
      <w:bookmarkStart w:id="382" w:name="_Toc483316435"/>
      <w:bookmarkStart w:id="383" w:name="_Toc483316304"/>
      <w:bookmarkStart w:id="384" w:name="_Toc483316101"/>
      <w:bookmarkStart w:id="385" w:name="_Toc483315896"/>
      <w:bookmarkStart w:id="386" w:name="_Toc483302346"/>
      <w:bookmarkStart w:id="387" w:name="_Toc483233646"/>
      <w:bookmarkStart w:id="388" w:name="_Toc482979685"/>
      <w:bookmarkStart w:id="389" w:name="_Toc482979587"/>
      <w:bookmarkStart w:id="390" w:name="_Toc482979478"/>
      <w:bookmarkStart w:id="391" w:name="_Toc482979370"/>
      <w:bookmarkStart w:id="392" w:name="_Toc482979261"/>
      <w:bookmarkStart w:id="393" w:name="_Toc482979152"/>
      <w:bookmarkStart w:id="394" w:name="_Toc482979041"/>
      <w:bookmarkStart w:id="395" w:name="_Toc482978933"/>
      <w:bookmarkStart w:id="396" w:name="_Toc482978824"/>
      <w:bookmarkStart w:id="397" w:name="_Toc482959705"/>
      <w:bookmarkStart w:id="398" w:name="_Toc482959595"/>
      <w:bookmarkStart w:id="399" w:name="_Toc482959485"/>
      <w:bookmarkStart w:id="400" w:name="_Toc482712715"/>
      <w:bookmarkStart w:id="401" w:name="_Toc482641269"/>
      <w:bookmarkStart w:id="402" w:name="_Toc482633092"/>
      <w:bookmarkStart w:id="403" w:name="_Toc482352252"/>
      <w:bookmarkStart w:id="404" w:name="_Toc482352162"/>
      <w:bookmarkStart w:id="405" w:name="_Toc482352072"/>
      <w:bookmarkStart w:id="406" w:name="_Toc482351982"/>
      <w:bookmarkStart w:id="407" w:name="_Toc482102118"/>
      <w:bookmarkStart w:id="408" w:name="_Toc482102024"/>
      <w:bookmarkStart w:id="409" w:name="_Toc482101929"/>
      <w:bookmarkStart w:id="410" w:name="_Toc482101834"/>
      <w:bookmarkStart w:id="411" w:name="_Toc482101741"/>
      <w:bookmarkStart w:id="412" w:name="_Toc482101566"/>
      <w:bookmarkStart w:id="413" w:name="_Toc482101451"/>
      <w:bookmarkStart w:id="414" w:name="_Toc482101314"/>
      <w:bookmarkStart w:id="415" w:name="_Toc482100888"/>
      <w:bookmarkStart w:id="416" w:name="_Toc482100731"/>
      <w:bookmarkStart w:id="417" w:name="_Toc482099014"/>
      <w:bookmarkStart w:id="418" w:name="_Toc482097916"/>
      <w:bookmarkStart w:id="419" w:name="_Toc482097724"/>
      <w:bookmarkStart w:id="420" w:name="_Toc482097635"/>
      <w:bookmarkStart w:id="421" w:name="_Toc482097546"/>
      <w:bookmarkStart w:id="422" w:name="_Toc482025723"/>
      <w:bookmarkStart w:id="423" w:name="_Toc485218271"/>
      <w:bookmarkStart w:id="424" w:name="_Toc484688835"/>
      <w:bookmarkStart w:id="425" w:name="_Toc484688280"/>
      <w:bookmarkStart w:id="426" w:name="_Toc484605411"/>
      <w:bookmarkStart w:id="427" w:name="_Toc484605287"/>
      <w:bookmarkStart w:id="428" w:name="_Toc484526567"/>
      <w:bookmarkStart w:id="429" w:name="_Toc484449072"/>
      <w:bookmarkStart w:id="430" w:name="_Toc484448948"/>
      <w:bookmarkStart w:id="431" w:name="_Toc484448824"/>
      <w:bookmarkStart w:id="432" w:name="_Toc484448701"/>
      <w:bookmarkStart w:id="433" w:name="_Toc484448577"/>
      <w:bookmarkStart w:id="434" w:name="_Toc484448453"/>
      <w:bookmarkStart w:id="435" w:name="_Toc484448329"/>
      <w:bookmarkStart w:id="436" w:name="_Toc484448205"/>
      <w:bookmarkStart w:id="437" w:name="_Toc484448080"/>
      <w:bookmarkStart w:id="438" w:name="_Toc484440421"/>
      <w:bookmarkStart w:id="439" w:name="_Toc484440061"/>
      <w:bookmarkStart w:id="440" w:name="_Toc484439937"/>
      <w:bookmarkStart w:id="441" w:name="_Toc484439814"/>
      <w:bookmarkStart w:id="442" w:name="_Toc484438894"/>
      <w:bookmarkStart w:id="443" w:name="_Toc484438770"/>
      <w:bookmarkStart w:id="444" w:name="_Toc484438646"/>
      <w:bookmarkStart w:id="445" w:name="_Toc484429071"/>
      <w:bookmarkStart w:id="446" w:name="_Toc484428901"/>
      <w:bookmarkStart w:id="447" w:name="_Toc484097729"/>
      <w:bookmarkStart w:id="448" w:name="_Toc484011655"/>
      <w:bookmarkStart w:id="449" w:name="_Toc484011180"/>
      <w:bookmarkStart w:id="450" w:name="_Toc484011058"/>
      <w:bookmarkStart w:id="451" w:name="_Toc484010936"/>
      <w:bookmarkStart w:id="452" w:name="_Toc484010812"/>
      <w:bookmarkStart w:id="453" w:name="_Toc484010690"/>
      <w:bookmarkStart w:id="454" w:name="_Toc483906940"/>
      <w:bookmarkStart w:id="455" w:name="_Toc483571563"/>
      <w:bookmarkStart w:id="456" w:name="_Toc483571442"/>
      <w:bookmarkStart w:id="457" w:name="_Toc483474013"/>
      <w:bookmarkStart w:id="458" w:name="_Toc483401216"/>
      <w:bookmarkStart w:id="459" w:name="_Toc483325737"/>
      <w:bookmarkStart w:id="460" w:name="_Toc483316434"/>
      <w:bookmarkStart w:id="461" w:name="_Toc483316303"/>
      <w:bookmarkStart w:id="462" w:name="_Toc483316100"/>
      <w:bookmarkStart w:id="463" w:name="_Toc483315895"/>
      <w:bookmarkStart w:id="464" w:name="_Toc483302345"/>
      <w:bookmarkStart w:id="465" w:name="_Toc483233645"/>
      <w:bookmarkStart w:id="466" w:name="_Toc482979684"/>
      <w:bookmarkStart w:id="467" w:name="_Toc482979586"/>
      <w:bookmarkStart w:id="468" w:name="_Toc482979477"/>
      <w:bookmarkStart w:id="469" w:name="_Toc482979369"/>
      <w:bookmarkStart w:id="470" w:name="_Toc482979260"/>
      <w:bookmarkStart w:id="471" w:name="_Toc482979151"/>
      <w:bookmarkStart w:id="472" w:name="_Toc482979040"/>
      <w:bookmarkStart w:id="473" w:name="_Toc482978932"/>
      <w:bookmarkStart w:id="474" w:name="_Toc482978823"/>
      <w:bookmarkStart w:id="475" w:name="_Toc482959704"/>
      <w:bookmarkStart w:id="476" w:name="_Toc482959594"/>
      <w:bookmarkStart w:id="477" w:name="_Toc482959484"/>
      <w:bookmarkStart w:id="478" w:name="_Toc482712714"/>
      <w:bookmarkStart w:id="479" w:name="_Toc482641268"/>
      <w:bookmarkStart w:id="480" w:name="_Toc482633091"/>
      <w:bookmarkStart w:id="481" w:name="_Toc482352251"/>
      <w:bookmarkStart w:id="482" w:name="_Toc482352161"/>
      <w:bookmarkStart w:id="483" w:name="_Toc482352071"/>
      <w:bookmarkStart w:id="484" w:name="_Toc482351981"/>
      <w:bookmarkStart w:id="485" w:name="_Toc482102117"/>
      <w:bookmarkStart w:id="486" w:name="_Toc482102023"/>
      <w:bookmarkStart w:id="487" w:name="_Toc482101928"/>
      <w:bookmarkStart w:id="488" w:name="_Toc482101833"/>
      <w:bookmarkStart w:id="489" w:name="_Toc482101740"/>
      <w:bookmarkStart w:id="490" w:name="_Toc482101565"/>
      <w:bookmarkStart w:id="491" w:name="_Toc482101450"/>
      <w:bookmarkStart w:id="492" w:name="_Toc482101313"/>
      <w:bookmarkStart w:id="493" w:name="_Toc482100887"/>
      <w:bookmarkStart w:id="494" w:name="_Toc482100730"/>
      <w:bookmarkStart w:id="495" w:name="_Toc482099013"/>
      <w:bookmarkStart w:id="496" w:name="_Toc482097915"/>
      <w:bookmarkStart w:id="497" w:name="_Toc482097723"/>
      <w:bookmarkStart w:id="498" w:name="_Toc482097634"/>
      <w:bookmarkStart w:id="499" w:name="_Toc482097545"/>
      <w:bookmarkStart w:id="500" w:name="_Toc482025722"/>
      <w:bookmarkStart w:id="501" w:name="_Toc485218270"/>
      <w:bookmarkStart w:id="502" w:name="_Toc484688834"/>
      <w:bookmarkStart w:id="503" w:name="_Toc484688279"/>
      <w:bookmarkStart w:id="504" w:name="_Toc484605410"/>
      <w:bookmarkStart w:id="505" w:name="_Toc484605286"/>
      <w:bookmarkStart w:id="506" w:name="_Toc484526566"/>
      <w:bookmarkStart w:id="507" w:name="_Toc484449071"/>
      <w:bookmarkStart w:id="508" w:name="_Toc484448947"/>
      <w:bookmarkStart w:id="509" w:name="_Toc484448823"/>
      <w:bookmarkStart w:id="510" w:name="_Toc484448700"/>
      <w:bookmarkStart w:id="511" w:name="_Toc484448576"/>
      <w:bookmarkStart w:id="512" w:name="_Toc484448452"/>
      <w:bookmarkStart w:id="513" w:name="_Toc484448328"/>
      <w:bookmarkStart w:id="514" w:name="_Toc484448204"/>
      <w:bookmarkStart w:id="515" w:name="_Toc484448079"/>
      <w:bookmarkStart w:id="516" w:name="_Toc484440420"/>
      <w:bookmarkStart w:id="517" w:name="_Toc484440060"/>
      <w:bookmarkStart w:id="518" w:name="_Toc484439936"/>
      <w:bookmarkStart w:id="519" w:name="_Toc484439813"/>
      <w:bookmarkStart w:id="520" w:name="_Toc484438893"/>
      <w:bookmarkStart w:id="521" w:name="_Toc484438769"/>
      <w:bookmarkStart w:id="522" w:name="_Toc484438645"/>
      <w:bookmarkStart w:id="523" w:name="_Toc484429070"/>
      <w:bookmarkStart w:id="524" w:name="_Toc484428900"/>
      <w:bookmarkStart w:id="525" w:name="_Toc484097728"/>
      <w:bookmarkStart w:id="526" w:name="_Toc484011654"/>
      <w:bookmarkStart w:id="527" w:name="_Toc484011179"/>
      <w:bookmarkStart w:id="528" w:name="_Toc484011057"/>
      <w:bookmarkStart w:id="529" w:name="_Toc484010935"/>
      <w:bookmarkStart w:id="530" w:name="_Toc484010811"/>
      <w:bookmarkStart w:id="531" w:name="_Toc484010689"/>
      <w:bookmarkStart w:id="532" w:name="_Toc483906939"/>
      <w:bookmarkStart w:id="533" w:name="_Toc483571562"/>
      <w:bookmarkStart w:id="534" w:name="_Toc483571441"/>
      <w:bookmarkStart w:id="535" w:name="_Toc483474012"/>
      <w:bookmarkStart w:id="536" w:name="_Toc483401215"/>
      <w:bookmarkStart w:id="537" w:name="_Toc483325736"/>
      <w:bookmarkStart w:id="538" w:name="_Toc483316433"/>
      <w:bookmarkStart w:id="539" w:name="_Toc483316302"/>
      <w:bookmarkStart w:id="540" w:name="_Toc483316099"/>
      <w:bookmarkStart w:id="541" w:name="_Toc483315894"/>
      <w:bookmarkStart w:id="542" w:name="_Toc483302344"/>
      <w:bookmarkStart w:id="543" w:name="_Toc483233644"/>
      <w:bookmarkStart w:id="544" w:name="_Toc482979683"/>
      <w:bookmarkStart w:id="545" w:name="_Toc482979585"/>
      <w:bookmarkStart w:id="546" w:name="_Toc482979476"/>
      <w:bookmarkStart w:id="547" w:name="_Toc482979368"/>
      <w:bookmarkStart w:id="548" w:name="_Toc482979259"/>
      <w:bookmarkStart w:id="549" w:name="_Toc482979150"/>
      <w:bookmarkStart w:id="550" w:name="_Toc482979039"/>
      <w:bookmarkStart w:id="551" w:name="_Toc482978931"/>
      <w:bookmarkStart w:id="552" w:name="_Toc482978822"/>
      <w:bookmarkStart w:id="553" w:name="_Toc482959703"/>
      <w:bookmarkStart w:id="554" w:name="_Toc482959593"/>
      <w:bookmarkStart w:id="555" w:name="_Toc482959483"/>
      <w:bookmarkStart w:id="556" w:name="_Toc482712713"/>
      <w:bookmarkStart w:id="557" w:name="_Toc482641267"/>
      <w:bookmarkStart w:id="558" w:name="_Toc482633090"/>
      <w:bookmarkStart w:id="559" w:name="_Toc482352250"/>
      <w:bookmarkStart w:id="560" w:name="_Toc482352160"/>
      <w:bookmarkStart w:id="561" w:name="_Toc482352070"/>
      <w:bookmarkStart w:id="562" w:name="_Toc482351980"/>
      <w:bookmarkStart w:id="563" w:name="_Toc482102116"/>
      <w:bookmarkStart w:id="564" w:name="_Toc482102022"/>
      <w:bookmarkStart w:id="565" w:name="_Toc482101927"/>
      <w:bookmarkStart w:id="566" w:name="_Toc482101832"/>
      <w:bookmarkStart w:id="567" w:name="_Toc482101739"/>
      <w:bookmarkStart w:id="568" w:name="_Toc482101564"/>
      <w:bookmarkStart w:id="569" w:name="_Toc482101449"/>
      <w:bookmarkStart w:id="570" w:name="_Toc482101312"/>
      <w:bookmarkStart w:id="571" w:name="_Toc482100886"/>
      <w:bookmarkStart w:id="572" w:name="_Toc482100729"/>
      <w:bookmarkStart w:id="573" w:name="_Toc482099012"/>
      <w:bookmarkStart w:id="574" w:name="_Toc482097914"/>
      <w:bookmarkStart w:id="575" w:name="_Toc482097722"/>
      <w:bookmarkStart w:id="576" w:name="_Toc482097633"/>
      <w:bookmarkStart w:id="577" w:name="_Toc482097544"/>
      <w:bookmarkStart w:id="578" w:name="_Toc482025721"/>
      <w:bookmarkStart w:id="579" w:name="_Toc485218269"/>
      <w:bookmarkStart w:id="580" w:name="_Toc484688833"/>
      <w:bookmarkStart w:id="581" w:name="_Toc484688278"/>
      <w:bookmarkStart w:id="582" w:name="_Toc484605409"/>
      <w:bookmarkStart w:id="583" w:name="_Toc484605285"/>
      <w:bookmarkStart w:id="584" w:name="_Toc484526565"/>
      <w:bookmarkStart w:id="585" w:name="_Toc484449070"/>
      <w:bookmarkStart w:id="586" w:name="_Toc484448946"/>
      <w:bookmarkStart w:id="587" w:name="_Toc484448822"/>
      <w:bookmarkStart w:id="588" w:name="_Toc484448699"/>
      <w:bookmarkStart w:id="589" w:name="_Toc484448575"/>
      <w:bookmarkStart w:id="590" w:name="_Toc484448451"/>
      <w:bookmarkStart w:id="591" w:name="_Toc484448327"/>
      <w:bookmarkStart w:id="592" w:name="_Toc484448203"/>
      <w:bookmarkStart w:id="593" w:name="_Toc484448078"/>
      <w:bookmarkStart w:id="594" w:name="_Toc484440419"/>
      <w:bookmarkStart w:id="595" w:name="_Toc484440059"/>
      <w:bookmarkStart w:id="596" w:name="_Toc484439935"/>
      <w:bookmarkStart w:id="597" w:name="_Toc484439812"/>
      <w:bookmarkStart w:id="598" w:name="_Toc484438892"/>
      <w:bookmarkStart w:id="599" w:name="_Toc484438768"/>
      <w:bookmarkStart w:id="600" w:name="_Toc484438644"/>
      <w:bookmarkStart w:id="601" w:name="_Toc484429069"/>
      <w:bookmarkStart w:id="602" w:name="_Toc484428899"/>
      <w:bookmarkStart w:id="603" w:name="_Toc484097727"/>
      <w:bookmarkStart w:id="604" w:name="_Toc484011653"/>
      <w:bookmarkStart w:id="605" w:name="_Toc484011178"/>
      <w:bookmarkStart w:id="606" w:name="_Toc484011056"/>
      <w:bookmarkStart w:id="607" w:name="_Toc484010934"/>
      <w:bookmarkStart w:id="608" w:name="_Toc484010810"/>
      <w:bookmarkStart w:id="609" w:name="_Toc484010688"/>
      <w:bookmarkStart w:id="610" w:name="_Toc483906938"/>
      <w:bookmarkStart w:id="611" w:name="_Toc483571561"/>
      <w:bookmarkStart w:id="612" w:name="_Toc483571440"/>
      <w:bookmarkStart w:id="613" w:name="_Toc483474011"/>
      <w:bookmarkStart w:id="614" w:name="_Toc483401214"/>
      <w:bookmarkStart w:id="615" w:name="_Toc483325735"/>
      <w:bookmarkStart w:id="616" w:name="_Toc483316432"/>
      <w:bookmarkStart w:id="617" w:name="_Toc483316301"/>
      <w:bookmarkStart w:id="618" w:name="_Toc483316098"/>
      <w:bookmarkStart w:id="619" w:name="_Toc483315893"/>
      <w:bookmarkStart w:id="620" w:name="_Toc483302343"/>
      <w:bookmarkStart w:id="621" w:name="_Toc483233643"/>
      <w:bookmarkStart w:id="622" w:name="_Toc482979682"/>
      <w:bookmarkStart w:id="623" w:name="_Toc482979584"/>
      <w:bookmarkStart w:id="624" w:name="_Toc482979475"/>
      <w:bookmarkStart w:id="625" w:name="_Toc482979367"/>
      <w:bookmarkStart w:id="626" w:name="_Toc482979258"/>
      <w:bookmarkStart w:id="627" w:name="_Toc482979149"/>
      <w:bookmarkStart w:id="628" w:name="_Toc482979038"/>
      <w:bookmarkStart w:id="629" w:name="_Toc482978930"/>
      <w:bookmarkStart w:id="630" w:name="_Toc482978821"/>
      <w:bookmarkStart w:id="631" w:name="_Toc482959702"/>
      <w:bookmarkStart w:id="632" w:name="_Toc482959592"/>
      <w:bookmarkStart w:id="633" w:name="_Toc482959482"/>
      <w:bookmarkStart w:id="634" w:name="_Toc482712712"/>
      <w:bookmarkStart w:id="635" w:name="_Toc482641266"/>
      <w:bookmarkStart w:id="636" w:name="_Toc482633089"/>
      <w:bookmarkStart w:id="637" w:name="_Toc482352249"/>
      <w:bookmarkStart w:id="638" w:name="_Toc482352159"/>
      <w:bookmarkStart w:id="639" w:name="_Toc482352069"/>
      <w:bookmarkStart w:id="640" w:name="_Toc482351979"/>
      <w:bookmarkStart w:id="641" w:name="_Toc482102115"/>
      <w:bookmarkStart w:id="642" w:name="_Toc482102021"/>
      <w:bookmarkStart w:id="643" w:name="_Toc482101926"/>
      <w:bookmarkStart w:id="644" w:name="_Toc482101831"/>
      <w:bookmarkStart w:id="645" w:name="_Toc482101738"/>
      <w:bookmarkStart w:id="646" w:name="_Toc482101563"/>
      <w:bookmarkStart w:id="647" w:name="_Toc482101448"/>
      <w:bookmarkStart w:id="648" w:name="_Toc482101311"/>
      <w:bookmarkStart w:id="649" w:name="_Toc482100885"/>
      <w:bookmarkStart w:id="650" w:name="_Toc482100728"/>
      <w:bookmarkStart w:id="651" w:name="_Toc482099011"/>
      <w:bookmarkStart w:id="652" w:name="_Toc482097913"/>
      <w:bookmarkStart w:id="653" w:name="_Toc482097721"/>
      <w:bookmarkStart w:id="654" w:name="_Toc482097632"/>
      <w:bookmarkStart w:id="655" w:name="_Toc482097543"/>
      <w:bookmarkStart w:id="656" w:name="_Toc482025720"/>
      <w:bookmarkStart w:id="657" w:name="_Toc485218268"/>
      <w:bookmarkStart w:id="658" w:name="_Toc484688832"/>
      <w:bookmarkStart w:id="659" w:name="_Toc484688277"/>
      <w:bookmarkStart w:id="660" w:name="_Toc484605408"/>
      <w:bookmarkStart w:id="661" w:name="_Toc484605284"/>
      <w:bookmarkStart w:id="662" w:name="_Toc484526564"/>
      <w:bookmarkStart w:id="663" w:name="_Toc484449069"/>
      <w:bookmarkStart w:id="664" w:name="_Toc484448945"/>
      <w:bookmarkStart w:id="665" w:name="_Toc484448821"/>
      <w:bookmarkStart w:id="666" w:name="_Toc484448698"/>
      <w:bookmarkStart w:id="667" w:name="_Toc484448574"/>
      <w:bookmarkStart w:id="668" w:name="_Toc484448450"/>
      <w:bookmarkStart w:id="669" w:name="_Toc484448326"/>
      <w:bookmarkStart w:id="670" w:name="_Toc484448202"/>
      <w:bookmarkStart w:id="671" w:name="_Toc484448077"/>
      <w:bookmarkStart w:id="672" w:name="_Toc484440418"/>
      <w:bookmarkStart w:id="673" w:name="_Toc484440058"/>
      <w:bookmarkStart w:id="674" w:name="_Toc484439934"/>
      <w:bookmarkStart w:id="675" w:name="_Toc484439811"/>
      <w:bookmarkStart w:id="676" w:name="_Toc484438891"/>
      <w:bookmarkStart w:id="677" w:name="_Toc484438767"/>
      <w:bookmarkStart w:id="678" w:name="_Toc484438643"/>
      <w:bookmarkStart w:id="679" w:name="_Toc484429068"/>
      <w:bookmarkStart w:id="680" w:name="_Toc484428898"/>
      <w:bookmarkStart w:id="681" w:name="_Toc484097726"/>
      <w:bookmarkStart w:id="682" w:name="_Toc484011652"/>
      <w:bookmarkStart w:id="683" w:name="_Toc484011177"/>
      <w:bookmarkStart w:id="684" w:name="_Toc484011055"/>
      <w:bookmarkStart w:id="685" w:name="_Toc484010933"/>
      <w:bookmarkStart w:id="686" w:name="_Toc484010809"/>
      <w:bookmarkStart w:id="687" w:name="_Toc484010687"/>
      <w:bookmarkStart w:id="688" w:name="_Toc483906937"/>
      <w:bookmarkStart w:id="689" w:name="_Toc483571560"/>
      <w:bookmarkStart w:id="690" w:name="_Toc483571439"/>
      <w:bookmarkStart w:id="691" w:name="_Toc483474010"/>
      <w:bookmarkStart w:id="692" w:name="_Toc483401213"/>
      <w:bookmarkStart w:id="693" w:name="_Toc483325734"/>
      <w:bookmarkStart w:id="694" w:name="_Toc483316431"/>
      <w:bookmarkStart w:id="695" w:name="_Toc483316300"/>
      <w:bookmarkStart w:id="696" w:name="_Toc483316097"/>
      <w:bookmarkStart w:id="697" w:name="_Toc483315892"/>
      <w:bookmarkStart w:id="698" w:name="_Toc483302342"/>
      <w:bookmarkStart w:id="699" w:name="_Toc483233642"/>
      <w:bookmarkStart w:id="700" w:name="_Toc482979681"/>
      <w:bookmarkStart w:id="701" w:name="_Toc482979583"/>
      <w:bookmarkStart w:id="702" w:name="_Toc482979474"/>
      <w:bookmarkStart w:id="703" w:name="_Toc482979366"/>
      <w:bookmarkStart w:id="704" w:name="_Toc482979257"/>
      <w:bookmarkStart w:id="705" w:name="_Toc482979148"/>
      <w:bookmarkStart w:id="706" w:name="_Toc482979037"/>
      <w:bookmarkStart w:id="707" w:name="_Toc482978929"/>
      <w:bookmarkStart w:id="708" w:name="_Toc482978820"/>
      <w:bookmarkStart w:id="709" w:name="_Toc482959701"/>
      <w:bookmarkStart w:id="710" w:name="_Toc482959591"/>
      <w:bookmarkStart w:id="711" w:name="_Toc482959481"/>
      <w:bookmarkStart w:id="712" w:name="_Toc482712711"/>
      <w:bookmarkStart w:id="713" w:name="_Toc482641265"/>
      <w:bookmarkStart w:id="714" w:name="_Toc482633088"/>
      <w:bookmarkStart w:id="715" w:name="_Toc482352248"/>
      <w:bookmarkStart w:id="716" w:name="_Toc482352158"/>
      <w:bookmarkStart w:id="717" w:name="_Toc482352068"/>
      <w:bookmarkStart w:id="718" w:name="_Toc482351978"/>
      <w:bookmarkStart w:id="719" w:name="_Toc482102114"/>
      <w:bookmarkStart w:id="720" w:name="_Toc482102020"/>
      <w:bookmarkStart w:id="721" w:name="_Toc482101925"/>
      <w:bookmarkStart w:id="722" w:name="_Toc482101830"/>
      <w:bookmarkStart w:id="723" w:name="_Toc482101737"/>
      <w:bookmarkStart w:id="724" w:name="_Toc482101562"/>
      <w:bookmarkStart w:id="725" w:name="_Toc482101447"/>
      <w:bookmarkStart w:id="726" w:name="_Toc482101310"/>
      <w:bookmarkStart w:id="727" w:name="_Toc482100884"/>
      <w:bookmarkStart w:id="728" w:name="_Toc482100727"/>
      <w:bookmarkStart w:id="729" w:name="_Toc482099010"/>
      <w:bookmarkStart w:id="730" w:name="_Toc482097912"/>
      <w:bookmarkStart w:id="731" w:name="_Toc482097720"/>
      <w:bookmarkStart w:id="732" w:name="_Toc482097631"/>
      <w:bookmarkStart w:id="733" w:name="_Toc482097542"/>
      <w:bookmarkStart w:id="734" w:name="_Toc482025719"/>
      <w:bookmarkStart w:id="735" w:name="_Toc485218267"/>
      <w:bookmarkStart w:id="736" w:name="_Toc484688831"/>
      <w:bookmarkStart w:id="737" w:name="_Toc484688276"/>
      <w:bookmarkStart w:id="738" w:name="_Toc484605407"/>
      <w:bookmarkStart w:id="739" w:name="_Toc484605283"/>
      <w:bookmarkStart w:id="740" w:name="_Toc484526563"/>
      <w:bookmarkStart w:id="741" w:name="_Toc484449068"/>
      <w:bookmarkStart w:id="742" w:name="_Toc484448944"/>
      <w:bookmarkStart w:id="743" w:name="_Toc484448820"/>
      <w:bookmarkStart w:id="744" w:name="_Toc484448697"/>
      <w:bookmarkStart w:id="745" w:name="_Toc484448573"/>
      <w:bookmarkStart w:id="746" w:name="_Toc484448449"/>
      <w:bookmarkStart w:id="747" w:name="_Toc484448325"/>
      <w:bookmarkStart w:id="748" w:name="_Toc484448201"/>
      <w:bookmarkStart w:id="749" w:name="_Toc484448076"/>
      <w:bookmarkStart w:id="750" w:name="_Toc484440417"/>
      <w:bookmarkStart w:id="751" w:name="_Toc484440057"/>
      <w:bookmarkStart w:id="752" w:name="_Toc484439933"/>
      <w:bookmarkStart w:id="753" w:name="_Toc484439810"/>
      <w:bookmarkStart w:id="754" w:name="_Toc484438890"/>
      <w:bookmarkStart w:id="755" w:name="_Toc484438766"/>
      <w:bookmarkStart w:id="756" w:name="_Toc484438642"/>
      <w:bookmarkStart w:id="757" w:name="_Toc484429067"/>
      <w:bookmarkStart w:id="758" w:name="_Toc484428897"/>
      <w:bookmarkStart w:id="759" w:name="_Toc484097725"/>
      <w:bookmarkStart w:id="760" w:name="_Toc484011651"/>
      <w:bookmarkStart w:id="761" w:name="_Toc484011176"/>
      <w:bookmarkStart w:id="762" w:name="_Toc484011054"/>
      <w:bookmarkStart w:id="763" w:name="_Toc484010932"/>
      <w:bookmarkStart w:id="764" w:name="_Toc484010808"/>
      <w:bookmarkStart w:id="765" w:name="_Toc484010686"/>
      <w:bookmarkStart w:id="766" w:name="_Toc483906936"/>
      <w:bookmarkStart w:id="767" w:name="_Toc483571559"/>
      <w:bookmarkStart w:id="768" w:name="_Toc483571438"/>
      <w:bookmarkStart w:id="769" w:name="_Toc483474009"/>
      <w:bookmarkStart w:id="770" w:name="_Toc483401212"/>
      <w:bookmarkStart w:id="771" w:name="_Toc483325733"/>
      <w:bookmarkStart w:id="772" w:name="_Toc483316430"/>
      <w:bookmarkStart w:id="773" w:name="_Toc483316299"/>
      <w:bookmarkStart w:id="774" w:name="_Toc483316096"/>
      <w:bookmarkStart w:id="775" w:name="_Toc483315891"/>
      <w:bookmarkStart w:id="776" w:name="_Toc483302341"/>
      <w:bookmarkStart w:id="777" w:name="_Toc483233641"/>
      <w:bookmarkStart w:id="778" w:name="_Toc482979680"/>
      <w:bookmarkStart w:id="779" w:name="_Toc482979582"/>
      <w:bookmarkStart w:id="780" w:name="_Toc482979473"/>
      <w:bookmarkStart w:id="781" w:name="_Toc482979365"/>
      <w:bookmarkStart w:id="782" w:name="_Toc482979256"/>
      <w:bookmarkStart w:id="783" w:name="_Toc482979147"/>
      <w:bookmarkStart w:id="784" w:name="_Toc482979036"/>
      <w:bookmarkStart w:id="785" w:name="_Toc482978928"/>
      <w:bookmarkStart w:id="786" w:name="_Toc482978819"/>
      <w:bookmarkStart w:id="787" w:name="_Toc482959700"/>
      <w:bookmarkStart w:id="788" w:name="_Toc482959590"/>
      <w:bookmarkStart w:id="789" w:name="_Toc482959480"/>
      <w:bookmarkStart w:id="790" w:name="_Toc482712710"/>
      <w:bookmarkStart w:id="791" w:name="_Toc482641264"/>
      <w:bookmarkStart w:id="792" w:name="_Toc482633087"/>
      <w:bookmarkStart w:id="793" w:name="_Toc482352247"/>
      <w:bookmarkStart w:id="794" w:name="_Toc482352157"/>
      <w:bookmarkStart w:id="795" w:name="_Toc482352067"/>
      <w:bookmarkStart w:id="796" w:name="_Toc482351977"/>
      <w:bookmarkStart w:id="797" w:name="_Toc482102113"/>
      <w:bookmarkStart w:id="798" w:name="_Toc482102019"/>
      <w:bookmarkStart w:id="799" w:name="_Toc482101924"/>
      <w:bookmarkStart w:id="800" w:name="_Toc482101829"/>
      <w:bookmarkStart w:id="801" w:name="_Toc482101736"/>
      <w:bookmarkStart w:id="802" w:name="_Toc482101561"/>
      <w:bookmarkStart w:id="803" w:name="_Toc482101446"/>
      <w:bookmarkStart w:id="804" w:name="_Toc482101309"/>
      <w:bookmarkStart w:id="805" w:name="_Toc482100883"/>
      <w:bookmarkStart w:id="806" w:name="_Toc482100726"/>
      <w:bookmarkStart w:id="807" w:name="_Toc482099009"/>
      <w:bookmarkStart w:id="808" w:name="_Toc482097911"/>
      <w:bookmarkStart w:id="809" w:name="_Toc482097719"/>
      <w:bookmarkStart w:id="810" w:name="_Toc482097630"/>
      <w:bookmarkStart w:id="811" w:name="_Toc482097541"/>
      <w:bookmarkStart w:id="812" w:name="_Toc482025718"/>
      <w:bookmarkStart w:id="813" w:name="_Toc485218266"/>
      <w:bookmarkStart w:id="814" w:name="_Toc484688830"/>
      <w:bookmarkStart w:id="815" w:name="_Toc484688275"/>
      <w:bookmarkStart w:id="816" w:name="_Toc484605406"/>
      <w:bookmarkStart w:id="817" w:name="_Toc484605282"/>
      <w:bookmarkStart w:id="818" w:name="_Toc484526562"/>
      <w:bookmarkStart w:id="819" w:name="_Toc484449067"/>
      <w:bookmarkStart w:id="820" w:name="_Toc484448943"/>
      <w:bookmarkStart w:id="821" w:name="_Toc484448819"/>
      <w:bookmarkStart w:id="822" w:name="_Toc484448696"/>
      <w:bookmarkStart w:id="823" w:name="_Toc484448572"/>
      <w:bookmarkStart w:id="824" w:name="_Toc484448448"/>
      <w:bookmarkStart w:id="825" w:name="_Toc484448324"/>
      <w:bookmarkStart w:id="826" w:name="_Toc484448200"/>
      <w:bookmarkStart w:id="827" w:name="_Toc484448075"/>
      <w:bookmarkStart w:id="828" w:name="_Toc484440416"/>
      <w:bookmarkStart w:id="829" w:name="_Toc484440056"/>
      <w:bookmarkStart w:id="830" w:name="_Toc484439932"/>
      <w:bookmarkStart w:id="831" w:name="_Toc484439809"/>
      <w:bookmarkStart w:id="832" w:name="_Toc484438889"/>
      <w:bookmarkStart w:id="833" w:name="_Toc484438765"/>
      <w:bookmarkStart w:id="834" w:name="_Toc484438641"/>
      <w:bookmarkStart w:id="835" w:name="_Toc484429066"/>
      <w:bookmarkStart w:id="836" w:name="_Toc484428896"/>
      <w:bookmarkStart w:id="837" w:name="_Toc484097724"/>
      <w:bookmarkStart w:id="838" w:name="_Toc484011650"/>
      <w:bookmarkStart w:id="839" w:name="_Toc484011175"/>
      <w:bookmarkStart w:id="840" w:name="_Toc484011053"/>
      <w:bookmarkStart w:id="841" w:name="_Toc484010931"/>
      <w:bookmarkStart w:id="842" w:name="_Toc484010807"/>
      <w:bookmarkStart w:id="843" w:name="_Toc484010685"/>
      <w:bookmarkStart w:id="844" w:name="_Toc483906935"/>
      <w:bookmarkStart w:id="845" w:name="_Toc483571558"/>
      <w:bookmarkStart w:id="846" w:name="_Toc483571437"/>
      <w:bookmarkStart w:id="847" w:name="_Toc483474008"/>
      <w:bookmarkStart w:id="848" w:name="_Toc483401211"/>
      <w:bookmarkStart w:id="849" w:name="_Toc483325732"/>
      <w:bookmarkStart w:id="850" w:name="_Toc483316429"/>
      <w:bookmarkStart w:id="851" w:name="_Toc483316298"/>
      <w:bookmarkStart w:id="852" w:name="_Toc483316095"/>
      <w:bookmarkStart w:id="853" w:name="_Toc483315890"/>
      <w:bookmarkStart w:id="854" w:name="_Toc483302340"/>
      <w:bookmarkStart w:id="855" w:name="_Toc483233640"/>
      <w:bookmarkStart w:id="856" w:name="_Toc482979679"/>
      <w:bookmarkStart w:id="857" w:name="_Toc482979581"/>
      <w:bookmarkStart w:id="858" w:name="_Toc482979472"/>
      <w:bookmarkStart w:id="859" w:name="_Toc482979364"/>
      <w:bookmarkStart w:id="860" w:name="_Toc482979255"/>
      <w:bookmarkStart w:id="861" w:name="_Toc482979146"/>
      <w:bookmarkStart w:id="862" w:name="_Toc482979035"/>
      <w:bookmarkStart w:id="863" w:name="_Toc482978927"/>
      <w:bookmarkStart w:id="864" w:name="_Toc482978818"/>
      <w:bookmarkStart w:id="865" w:name="_Toc482959699"/>
      <w:bookmarkStart w:id="866" w:name="_Toc482959589"/>
      <w:bookmarkStart w:id="867" w:name="_Toc482959479"/>
      <w:bookmarkStart w:id="868" w:name="_Toc482712709"/>
      <w:bookmarkStart w:id="869" w:name="_Toc482641263"/>
      <w:bookmarkStart w:id="870" w:name="_Toc482633086"/>
      <w:bookmarkStart w:id="871" w:name="_Toc482352246"/>
      <w:bookmarkStart w:id="872" w:name="_Toc482352156"/>
      <w:bookmarkStart w:id="873" w:name="_Toc482352066"/>
      <w:bookmarkStart w:id="874" w:name="_Toc482351976"/>
      <w:bookmarkStart w:id="875" w:name="_Toc482102112"/>
      <w:bookmarkStart w:id="876" w:name="_Toc482102018"/>
      <w:bookmarkStart w:id="877" w:name="_Toc482101923"/>
      <w:bookmarkStart w:id="878" w:name="_Toc482101828"/>
      <w:bookmarkStart w:id="879" w:name="_Toc482101735"/>
      <w:bookmarkStart w:id="880" w:name="_Toc482101560"/>
      <w:bookmarkStart w:id="881" w:name="_Toc482101445"/>
      <w:bookmarkStart w:id="882" w:name="_Toc482101308"/>
      <w:bookmarkStart w:id="883" w:name="_Toc482100882"/>
      <w:bookmarkStart w:id="884" w:name="_Toc482100725"/>
      <w:bookmarkStart w:id="885" w:name="_Toc482099008"/>
      <w:bookmarkStart w:id="886" w:name="_Toc482097910"/>
      <w:bookmarkStart w:id="887" w:name="_Toc482097718"/>
      <w:bookmarkStart w:id="888" w:name="_Toc482097629"/>
      <w:bookmarkStart w:id="889" w:name="_Toc482097540"/>
      <w:bookmarkStart w:id="890" w:name="_Toc482025717"/>
      <w:bookmarkStart w:id="891" w:name="_Toc485218265"/>
      <w:bookmarkStart w:id="892" w:name="_Toc484688829"/>
      <w:bookmarkStart w:id="893" w:name="_Toc484688274"/>
      <w:bookmarkStart w:id="894" w:name="_Toc484605405"/>
      <w:bookmarkStart w:id="895" w:name="_Toc484605281"/>
      <w:bookmarkStart w:id="896" w:name="_Toc484526561"/>
      <w:bookmarkStart w:id="897" w:name="_Toc484449066"/>
      <w:bookmarkStart w:id="898" w:name="_Toc484448942"/>
      <w:bookmarkStart w:id="899" w:name="_Toc484448818"/>
      <w:bookmarkStart w:id="900" w:name="_Toc484448695"/>
      <w:bookmarkStart w:id="901" w:name="_Toc484448571"/>
      <w:bookmarkStart w:id="902" w:name="_Toc484448447"/>
      <w:bookmarkStart w:id="903" w:name="_Toc484448323"/>
      <w:bookmarkStart w:id="904" w:name="_Toc484448199"/>
      <w:bookmarkStart w:id="905" w:name="_Toc484448074"/>
      <w:bookmarkStart w:id="906" w:name="_Toc484440415"/>
      <w:bookmarkStart w:id="907" w:name="_Toc484440055"/>
      <w:bookmarkStart w:id="908" w:name="_Toc484439931"/>
      <w:bookmarkStart w:id="909" w:name="_Toc484439808"/>
      <w:bookmarkStart w:id="910" w:name="_Toc484438888"/>
      <w:bookmarkStart w:id="911" w:name="_Toc484438764"/>
      <w:bookmarkStart w:id="912" w:name="_Toc484438640"/>
      <w:bookmarkStart w:id="913" w:name="_Toc484429065"/>
      <w:bookmarkStart w:id="914" w:name="_Toc484428895"/>
      <w:bookmarkStart w:id="915" w:name="_Toc484097723"/>
      <w:bookmarkStart w:id="916" w:name="_Toc484011649"/>
      <w:bookmarkStart w:id="917" w:name="_Toc484011174"/>
      <w:bookmarkStart w:id="918" w:name="_Toc484011052"/>
      <w:bookmarkStart w:id="919" w:name="_Toc484010930"/>
      <w:bookmarkStart w:id="920" w:name="_Toc484010806"/>
      <w:bookmarkStart w:id="921" w:name="_Toc484010684"/>
      <w:bookmarkStart w:id="922" w:name="_Toc483906934"/>
      <w:bookmarkStart w:id="923" w:name="_Toc483571557"/>
      <w:bookmarkStart w:id="924" w:name="_Toc483571436"/>
      <w:bookmarkStart w:id="925" w:name="_Toc483474007"/>
      <w:bookmarkStart w:id="926" w:name="_Toc483401210"/>
      <w:bookmarkStart w:id="927" w:name="_Toc483325731"/>
      <w:bookmarkStart w:id="928" w:name="_Toc483316428"/>
      <w:bookmarkStart w:id="929" w:name="_Toc483316297"/>
      <w:bookmarkStart w:id="930" w:name="_Toc483316094"/>
      <w:bookmarkStart w:id="931" w:name="_Toc483315889"/>
      <w:bookmarkStart w:id="932" w:name="_Toc483302339"/>
      <w:bookmarkStart w:id="933" w:name="_Toc483233639"/>
      <w:bookmarkStart w:id="934" w:name="_Toc482979678"/>
      <w:bookmarkStart w:id="935" w:name="_Toc482979580"/>
      <w:bookmarkStart w:id="936" w:name="_Toc482979471"/>
      <w:bookmarkStart w:id="937" w:name="_Toc482979363"/>
      <w:bookmarkStart w:id="938" w:name="_Toc482979254"/>
      <w:bookmarkStart w:id="939" w:name="_Toc482979145"/>
      <w:bookmarkStart w:id="940" w:name="_Toc482979034"/>
      <w:bookmarkStart w:id="941" w:name="_Toc482978926"/>
      <w:bookmarkStart w:id="942" w:name="_Toc482978817"/>
      <w:bookmarkStart w:id="943" w:name="_Toc482959698"/>
      <w:bookmarkStart w:id="944" w:name="_Toc482959588"/>
      <w:bookmarkStart w:id="945" w:name="_Toc482959478"/>
      <w:bookmarkStart w:id="946" w:name="_Toc482712708"/>
      <w:bookmarkStart w:id="947" w:name="_Toc482641262"/>
      <w:bookmarkStart w:id="948" w:name="_Toc482633085"/>
      <w:bookmarkStart w:id="949" w:name="_Toc482352245"/>
      <w:bookmarkStart w:id="950" w:name="_Toc482352155"/>
      <w:bookmarkStart w:id="951" w:name="_Toc482352065"/>
      <w:bookmarkStart w:id="952" w:name="_Toc482351975"/>
      <w:bookmarkStart w:id="953" w:name="_Toc482102111"/>
      <w:bookmarkStart w:id="954" w:name="_Toc482102017"/>
      <w:bookmarkStart w:id="955" w:name="_Toc482101922"/>
      <w:bookmarkStart w:id="956" w:name="_Toc482101827"/>
      <w:bookmarkStart w:id="957" w:name="_Toc482101734"/>
      <w:bookmarkStart w:id="958" w:name="_Toc482101559"/>
      <w:bookmarkStart w:id="959" w:name="_Toc482101444"/>
      <w:bookmarkStart w:id="960" w:name="_Toc482101307"/>
      <w:bookmarkStart w:id="961" w:name="_Toc482100881"/>
      <w:bookmarkStart w:id="962" w:name="_Toc482100724"/>
      <w:bookmarkStart w:id="963" w:name="_Toc482099007"/>
      <w:bookmarkStart w:id="964" w:name="_Toc482097909"/>
      <w:bookmarkStart w:id="965" w:name="_Toc482097717"/>
      <w:bookmarkStart w:id="966" w:name="_Toc482097628"/>
      <w:bookmarkStart w:id="967" w:name="_Toc482097539"/>
      <w:bookmarkStart w:id="968" w:name="_Toc482025716"/>
      <w:bookmarkStart w:id="969" w:name="_Toc485218264"/>
      <w:bookmarkStart w:id="970" w:name="_Toc484688828"/>
      <w:bookmarkStart w:id="971" w:name="_Toc484688273"/>
      <w:bookmarkStart w:id="972" w:name="_Toc484605404"/>
      <w:bookmarkStart w:id="973" w:name="_Toc484605280"/>
      <w:bookmarkStart w:id="974" w:name="_Toc484526560"/>
      <w:bookmarkStart w:id="975" w:name="_Toc484449065"/>
      <w:bookmarkStart w:id="976" w:name="_Toc484448941"/>
      <w:bookmarkStart w:id="977" w:name="_Toc484448817"/>
      <w:bookmarkStart w:id="978" w:name="_Toc484448694"/>
      <w:bookmarkStart w:id="979" w:name="_Toc484448570"/>
      <w:bookmarkStart w:id="980" w:name="_Toc484448446"/>
      <w:bookmarkStart w:id="981" w:name="_Toc484448322"/>
      <w:bookmarkStart w:id="982" w:name="_Toc484448198"/>
      <w:bookmarkStart w:id="983" w:name="_Toc484448073"/>
      <w:bookmarkStart w:id="984" w:name="_Toc484440414"/>
      <w:bookmarkStart w:id="985" w:name="_Toc484440054"/>
      <w:bookmarkStart w:id="986" w:name="_Toc484439930"/>
      <w:bookmarkStart w:id="987" w:name="_Toc484439807"/>
      <w:bookmarkStart w:id="988" w:name="_Toc484438887"/>
      <w:bookmarkStart w:id="989" w:name="_Toc484438763"/>
      <w:bookmarkStart w:id="990" w:name="_Toc484438639"/>
      <w:bookmarkStart w:id="991" w:name="_Toc484429064"/>
      <w:bookmarkStart w:id="992" w:name="_Toc484428894"/>
      <w:bookmarkStart w:id="993" w:name="_Toc484097722"/>
      <w:bookmarkStart w:id="994" w:name="_Toc484011648"/>
      <w:bookmarkStart w:id="995" w:name="_Toc484011173"/>
      <w:bookmarkStart w:id="996" w:name="_Toc484011051"/>
      <w:bookmarkStart w:id="997" w:name="_Toc484010929"/>
      <w:bookmarkStart w:id="998" w:name="_Toc484010805"/>
      <w:bookmarkStart w:id="999" w:name="_Toc484010683"/>
      <w:bookmarkStart w:id="1000" w:name="_Toc483906933"/>
      <w:bookmarkStart w:id="1001" w:name="_Toc483571556"/>
      <w:bookmarkStart w:id="1002" w:name="_Toc483571435"/>
      <w:bookmarkStart w:id="1003" w:name="_Toc483474006"/>
      <w:bookmarkStart w:id="1004" w:name="_Toc483401209"/>
      <w:bookmarkStart w:id="1005" w:name="_Toc483325730"/>
      <w:bookmarkStart w:id="1006" w:name="_Toc483316427"/>
      <w:bookmarkStart w:id="1007" w:name="_Toc483316296"/>
      <w:bookmarkStart w:id="1008" w:name="_Toc483316093"/>
      <w:bookmarkStart w:id="1009" w:name="_Toc483315888"/>
      <w:bookmarkStart w:id="1010" w:name="_Toc483302338"/>
      <w:bookmarkStart w:id="1011" w:name="_Toc483233638"/>
      <w:bookmarkStart w:id="1012" w:name="_Toc482979677"/>
      <w:bookmarkStart w:id="1013" w:name="_Toc482979579"/>
      <w:bookmarkStart w:id="1014" w:name="_Toc482979470"/>
      <w:bookmarkStart w:id="1015" w:name="_Toc482979362"/>
      <w:bookmarkStart w:id="1016" w:name="_Toc482979253"/>
      <w:bookmarkStart w:id="1017" w:name="_Toc482979144"/>
      <w:bookmarkStart w:id="1018" w:name="_Toc482979033"/>
      <w:bookmarkStart w:id="1019" w:name="_Toc482978925"/>
      <w:bookmarkStart w:id="1020" w:name="_Toc482978816"/>
      <w:bookmarkStart w:id="1021" w:name="_Toc482959697"/>
      <w:bookmarkStart w:id="1022" w:name="_Toc482959587"/>
      <w:bookmarkStart w:id="1023" w:name="_Toc482959477"/>
      <w:bookmarkStart w:id="1024" w:name="_Toc482712707"/>
      <w:bookmarkStart w:id="1025" w:name="_Toc482641261"/>
      <w:bookmarkStart w:id="1026" w:name="_Toc482633084"/>
      <w:bookmarkStart w:id="1027" w:name="_Toc482352244"/>
      <w:bookmarkStart w:id="1028" w:name="_Toc482352154"/>
      <w:bookmarkStart w:id="1029" w:name="_Toc482352064"/>
      <w:bookmarkStart w:id="1030" w:name="_Toc482351974"/>
      <w:bookmarkStart w:id="1031" w:name="_Toc482102110"/>
      <w:bookmarkStart w:id="1032" w:name="_Toc482102016"/>
      <w:bookmarkStart w:id="1033" w:name="_Toc482101921"/>
      <w:bookmarkStart w:id="1034" w:name="_Toc482101826"/>
      <w:bookmarkStart w:id="1035" w:name="_Toc482101733"/>
      <w:bookmarkStart w:id="1036" w:name="_Toc482101558"/>
      <w:bookmarkStart w:id="1037" w:name="_Toc482101443"/>
      <w:bookmarkStart w:id="1038" w:name="_Toc482101306"/>
      <w:bookmarkStart w:id="1039" w:name="_Toc482100880"/>
      <w:bookmarkStart w:id="1040" w:name="_Toc482100723"/>
      <w:bookmarkStart w:id="1041" w:name="_Toc482099006"/>
      <w:bookmarkStart w:id="1042" w:name="_Toc482097908"/>
      <w:bookmarkStart w:id="1043" w:name="_Toc482097716"/>
      <w:bookmarkStart w:id="1044" w:name="_Toc482097627"/>
      <w:bookmarkStart w:id="1045" w:name="_Toc482097538"/>
      <w:bookmarkStart w:id="1046" w:name="_Toc482025715"/>
      <w:bookmarkStart w:id="1047" w:name="_Toc485218263"/>
      <w:bookmarkStart w:id="1048" w:name="_Toc484688827"/>
      <w:bookmarkStart w:id="1049" w:name="_Toc484688272"/>
      <w:bookmarkStart w:id="1050" w:name="_Toc484605403"/>
      <w:bookmarkStart w:id="1051" w:name="_Toc484605279"/>
      <w:bookmarkStart w:id="1052" w:name="_Toc484526559"/>
      <w:bookmarkStart w:id="1053" w:name="_Toc484449064"/>
      <w:bookmarkStart w:id="1054" w:name="_Toc484448940"/>
      <w:bookmarkStart w:id="1055" w:name="_Toc484448816"/>
      <w:bookmarkStart w:id="1056" w:name="_Toc484448693"/>
      <w:bookmarkStart w:id="1057" w:name="_Toc484448569"/>
      <w:bookmarkStart w:id="1058" w:name="_Toc484448445"/>
      <w:bookmarkStart w:id="1059" w:name="_Toc484448321"/>
      <w:bookmarkStart w:id="1060" w:name="_Toc484448197"/>
      <w:bookmarkStart w:id="1061" w:name="_Toc484448072"/>
      <w:bookmarkStart w:id="1062" w:name="_Toc484440413"/>
      <w:bookmarkStart w:id="1063" w:name="_Toc484440053"/>
      <w:bookmarkStart w:id="1064" w:name="_Toc484439929"/>
      <w:bookmarkStart w:id="1065" w:name="_Toc484439806"/>
      <w:bookmarkStart w:id="1066" w:name="_Toc484438886"/>
      <w:bookmarkStart w:id="1067" w:name="_Toc484438762"/>
      <w:bookmarkStart w:id="1068" w:name="_Toc484438638"/>
      <w:bookmarkStart w:id="1069" w:name="_Toc484429063"/>
      <w:bookmarkStart w:id="1070" w:name="_Toc484428893"/>
      <w:bookmarkStart w:id="1071" w:name="_Toc484097721"/>
      <w:bookmarkStart w:id="1072" w:name="_Toc484011647"/>
      <w:bookmarkStart w:id="1073" w:name="_Toc484011172"/>
      <w:bookmarkStart w:id="1074" w:name="_Toc484011050"/>
      <w:bookmarkStart w:id="1075" w:name="_Toc484010928"/>
      <w:bookmarkStart w:id="1076" w:name="_Toc484010804"/>
      <w:bookmarkStart w:id="1077" w:name="_Toc484010682"/>
      <w:bookmarkStart w:id="1078" w:name="_Toc483906932"/>
      <w:bookmarkStart w:id="1079" w:name="_Toc483571555"/>
      <w:bookmarkStart w:id="1080" w:name="_Toc483571434"/>
      <w:bookmarkStart w:id="1081" w:name="_Toc483474005"/>
      <w:bookmarkStart w:id="1082" w:name="_Toc483401208"/>
      <w:bookmarkStart w:id="1083" w:name="_Toc483325729"/>
      <w:bookmarkStart w:id="1084" w:name="_Toc483316426"/>
      <w:bookmarkStart w:id="1085" w:name="_Toc483316295"/>
      <w:bookmarkStart w:id="1086" w:name="_Toc483316092"/>
      <w:bookmarkStart w:id="1087" w:name="_Toc483315887"/>
      <w:bookmarkStart w:id="1088" w:name="_Toc483302337"/>
      <w:bookmarkStart w:id="1089" w:name="_Toc483233637"/>
      <w:bookmarkStart w:id="1090" w:name="_Toc482979676"/>
      <w:bookmarkStart w:id="1091" w:name="_Toc482979578"/>
      <w:bookmarkStart w:id="1092" w:name="_Toc482979469"/>
      <w:bookmarkStart w:id="1093" w:name="_Toc482979361"/>
      <w:bookmarkStart w:id="1094" w:name="_Toc482979252"/>
      <w:bookmarkStart w:id="1095" w:name="_Toc482979143"/>
      <w:bookmarkStart w:id="1096" w:name="_Toc482979032"/>
      <w:bookmarkStart w:id="1097" w:name="_Toc482978924"/>
      <w:bookmarkStart w:id="1098" w:name="_Toc482978815"/>
      <w:bookmarkStart w:id="1099" w:name="_Toc482959696"/>
      <w:bookmarkStart w:id="1100" w:name="_Toc482959586"/>
      <w:bookmarkStart w:id="1101" w:name="_Toc482959476"/>
      <w:bookmarkStart w:id="1102" w:name="_Toc482712706"/>
      <w:bookmarkStart w:id="1103" w:name="_Toc482641260"/>
      <w:bookmarkStart w:id="1104" w:name="_Toc482633083"/>
      <w:bookmarkStart w:id="1105" w:name="_Toc482352243"/>
      <w:bookmarkStart w:id="1106" w:name="_Toc482352153"/>
      <w:bookmarkStart w:id="1107" w:name="_Toc482352063"/>
      <w:bookmarkStart w:id="1108" w:name="_Toc482351973"/>
      <w:bookmarkStart w:id="1109" w:name="_Toc482102109"/>
      <w:bookmarkStart w:id="1110" w:name="_Toc482102015"/>
      <w:bookmarkStart w:id="1111" w:name="_Toc482101920"/>
      <w:bookmarkStart w:id="1112" w:name="_Toc482101825"/>
      <w:bookmarkStart w:id="1113" w:name="_Toc482101732"/>
      <w:bookmarkStart w:id="1114" w:name="_Toc482101557"/>
      <w:bookmarkStart w:id="1115" w:name="_Toc482101442"/>
      <w:bookmarkStart w:id="1116" w:name="_Toc482101305"/>
      <w:bookmarkStart w:id="1117" w:name="_Toc482100879"/>
      <w:bookmarkStart w:id="1118" w:name="_Toc482100722"/>
      <w:bookmarkStart w:id="1119" w:name="_Toc482099005"/>
      <w:bookmarkStart w:id="1120" w:name="_Toc482097907"/>
      <w:bookmarkStart w:id="1121" w:name="_Toc482097715"/>
      <w:bookmarkStart w:id="1122" w:name="_Toc482097626"/>
      <w:bookmarkStart w:id="1123" w:name="_Toc482097537"/>
      <w:bookmarkStart w:id="1124" w:name="_Toc482025714"/>
      <w:bookmarkStart w:id="1125" w:name="_Toc485218262"/>
      <w:bookmarkStart w:id="1126" w:name="_Toc484688826"/>
      <w:bookmarkStart w:id="1127" w:name="_Toc484688271"/>
      <w:bookmarkStart w:id="1128" w:name="_Toc484605402"/>
      <w:bookmarkStart w:id="1129" w:name="_Toc484605278"/>
      <w:bookmarkStart w:id="1130" w:name="_Toc484526558"/>
      <w:bookmarkStart w:id="1131" w:name="_Toc484449063"/>
      <w:bookmarkStart w:id="1132" w:name="_Toc484448939"/>
      <w:bookmarkStart w:id="1133" w:name="_Toc484448815"/>
      <w:bookmarkStart w:id="1134" w:name="_Toc484448692"/>
      <w:bookmarkStart w:id="1135" w:name="_Toc484448568"/>
      <w:bookmarkStart w:id="1136" w:name="_Toc484448444"/>
      <w:bookmarkStart w:id="1137" w:name="_Toc484448320"/>
      <w:bookmarkStart w:id="1138" w:name="_Toc484448196"/>
      <w:bookmarkStart w:id="1139" w:name="_Toc484448071"/>
      <w:bookmarkStart w:id="1140" w:name="_Toc484440412"/>
      <w:bookmarkStart w:id="1141" w:name="_Toc484440052"/>
      <w:bookmarkStart w:id="1142" w:name="_Toc484439928"/>
      <w:bookmarkStart w:id="1143" w:name="_Toc484439805"/>
      <w:bookmarkStart w:id="1144" w:name="_Toc484438885"/>
      <w:bookmarkStart w:id="1145" w:name="_Toc484438761"/>
      <w:bookmarkStart w:id="1146" w:name="_Toc484438637"/>
      <w:bookmarkStart w:id="1147" w:name="_Toc484429062"/>
      <w:bookmarkStart w:id="1148" w:name="_Toc484428892"/>
      <w:bookmarkStart w:id="1149" w:name="_Toc484097720"/>
      <w:bookmarkStart w:id="1150" w:name="_Toc484011646"/>
      <w:bookmarkStart w:id="1151" w:name="_Toc484011171"/>
      <w:bookmarkStart w:id="1152" w:name="_Toc484011049"/>
      <w:bookmarkStart w:id="1153" w:name="_Toc484010927"/>
      <w:bookmarkStart w:id="1154" w:name="_Toc484010803"/>
      <w:bookmarkStart w:id="1155" w:name="_Toc484010681"/>
      <w:bookmarkStart w:id="1156" w:name="_Toc483906931"/>
      <w:bookmarkStart w:id="1157" w:name="_Toc483571554"/>
      <w:bookmarkStart w:id="1158" w:name="_Toc483571433"/>
      <w:bookmarkStart w:id="1159" w:name="_Toc483474004"/>
      <w:bookmarkStart w:id="1160" w:name="_Toc483401207"/>
      <w:bookmarkStart w:id="1161" w:name="_Toc483325728"/>
      <w:bookmarkStart w:id="1162" w:name="_Toc483316425"/>
      <w:bookmarkStart w:id="1163" w:name="_Toc483316294"/>
      <w:bookmarkStart w:id="1164" w:name="_Toc483316091"/>
      <w:bookmarkStart w:id="1165" w:name="_Toc483315886"/>
      <w:bookmarkStart w:id="1166" w:name="_Toc483302336"/>
      <w:bookmarkStart w:id="1167" w:name="_Toc483233636"/>
      <w:bookmarkStart w:id="1168" w:name="_Toc482979675"/>
      <w:bookmarkStart w:id="1169" w:name="_Toc482979577"/>
      <w:bookmarkStart w:id="1170" w:name="_Toc482979468"/>
      <w:bookmarkStart w:id="1171" w:name="_Toc482979360"/>
      <w:bookmarkStart w:id="1172" w:name="_Toc482979251"/>
      <w:bookmarkStart w:id="1173" w:name="_Toc482979142"/>
      <w:bookmarkStart w:id="1174" w:name="_Toc482979031"/>
      <w:bookmarkStart w:id="1175" w:name="_Toc482978923"/>
      <w:bookmarkStart w:id="1176" w:name="_Toc482978814"/>
      <w:bookmarkStart w:id="1177" w:name="_Toc482959695"/>
      <w:bookmarkStart w:id="1178" w:name="_Toc482959585"/>
      <w:bookmarkStart w:id="1179" w:name="_Toc482959475"/>
      <w:bookmarkStart w:id="1180" w:name="_Toc482712705"/>
      <w:bookmarkStart w:id="1181" w:name="_Toc482641259"/>
      <w:bookmarkStart w:id="1182" w:name="_Toc482633082"/>
      <w:bookmarkStart w:id="1183" w:name="_Toc482352242"/>
      <w:bookmarkStart w:id="1184" w:name="_Toc482352152"/>
      <w:bookmarkStart w:id="1185" w:name="_Toc482352062"/>
      <w:bookmarkStart w:id="1186" w:name="_Toc482351972"/>
      <w:bookmarkStart w:id="1187" w:name="_Toc482102108"/>
      <w:bookmarkStart w:id="1188" w:name="_Toc482102014"/>
      <w:bookmarkStart w:id="1189" w:name="_Toc482101919"/>
      <w:bookmarkStart w:id="1190" w:name="_Toc482101824"/>
      <w:bookmarkStart w:id="1191" w:name="_Toc482101731"/>
      <w:bookmarkStart w:id="1192" w:name="_Toc482101556"/>
      <w:bookmarkStart w:id="1193" w:name="_Toc482101441"/>
      <w:bookmarkStart w:id="1194" w:name="_Toc482101304"/>
      <w:bookmarkStart w:id="1195" w:name="_Toc482100878"/>
      <w:bookmarkStart w:id="1196" w:name="_Toc482100721"/>
      <w:bookmarkStart w:id="1197" w:name="_Toc482099004"/>
      <w:bookmarkStart w:id="1198" w:name="_Toc482097906"/>
      <w:bookmarkStart w:id="1199" w:name="_Toc482097714"/>
      <w:bookmarkStart w:id="1200" w:name="_Toc482097625"/>
      <w:bookmarkStart w:id="1201" w:name="_Toc482097536"/>
      <w:bookmarkStart w:id="1202" w:name="_Toc482025713"/>
      <w:bookmarkStart w:id="1203" w:name="_Toc485218261"/>
      <w:bookmarkStart w:id="1204" w:name="_Toc484688825"/>
      <w:bookmarkStart w:id="1205" w:name="_Toc484688270"/>
      <w:bookmarkStart w:id="1206" w:name="_Toc484605401"/>
      <w:bookmarkStart w:id="1207" w:name="_Toc484605277"/>
      <w:bookmarkStart w:id="1208" w:name="_Toc484526557"/>
      <w:bookmarkStart w:id="1209" w:name="_Toc484449062"/>
      <w:bookmarkStart w:id="1210" w:name="_Toc484448938"/>
      <w:bookmarkStart w:id="1211" w:name="_Toc484448814"/>
      <w:bookmarkStart w:id="1212" w:name="_Toc484448691"/>
      <w:bookmarkStart w:id="1213" w:name="_Toc484448567"/>
      <w:bookmarkStart w:id="1214" w:name="_Toc484448443"/>
      <w:bookmarkStart w:id="1215" w:name="_Toc484448319"/>
      <w:bookmarkStart w:id="1216" w:name="_Toc484448195"/>
      <w:bookmarkStart w:id="1217" w:name="_Toc484448070"/>
      <w:bookmarkStart w:id="1218" w:name="_Toc484440411"/>
      <w:bookmarkStart w:id="1219" w:name="_Toc484440051"/>
      <w:bookmarkStart w:id="1220" w:name="_Toc484439927"/>
      <w:bookmarkStart w:id="1221" w:name="_Toc484439804"/>
      <w:bookmarkStart w:id="1222" w:name="_Toc484438884"/>
      <w:bookmarkStart w:id="1223" w:name="_Toc484438760"/>
      <w:bookmarkStart w:id="1224" w:name="_Toc484438636"/>
      <w:bookmarkStart w:id="1225" w:name="_Toc484429061"/>
      <w:bookmarkStart w:id="1226" w:name="_Toc484428891"/>
      <w:bookmarkStart w:id="1227" w:name="_Toc484097719"/>
      <w:bookmarkStart w:id="1228" w:name="_Toc484011645"/>
      <w:bookmarkStart w:id="1229" w:name="_Toc484011170"/>
      <w:bookmarkStart w:id="1230" w:name="_Toc484011048"/>
      <w:bookmarkStart w:id="1231" w:name="_Toc484010926"/>
      <w:bookmarkStart w:id="1232" w:name="_Toc484010802"/>
      <w:bookmarkStart w:id="1233" w:name="_Toc484010680"/>
      <w:bookmarkStart w:id="1234" w:name="_Toc483906930"/>
      <w:bookmarkStart w:id="1235" w:name="_Toc483571553"/>
      <w:bookmarkStart w:id="1236" w:name="_Toc483571432"/>
      <w:bookmarkStart w:id="1237" w:name="_Toc483474003"/>
      <w:bookmarkStart w:id="1238" w:name="_Toc483401206"/>
      <w:bookmarkStart w:id="1239" w:name="_Toc483325727"/>
      <w:bookmarkStart w:id="1240" w:name="_Toc483316424"/>
      <w:bookmarkStart w:id="1241" w:name="_Toc483316293"/>
      <w:bookmarkStart w:id="1242" w:name="_Toc483316090"/>
      <w:bookmarkStart w:id="1243" w:name="_Toc483315885"/>
      <w:bookmarkStart w:id="1244" w:name="_Toc483302335"/>
      <w:bookmarkStart w:id="1245" w:name="_Toc483233635"/>
      <w:bookmarkStart w:id="1246" w:name="_Toc482979674"/>
      <w:bookmarkStart w:id="1247" w:name="_Toc482979576"/>
      <w:bookmarkStart w:id="1248" w:name="_Toc482979467"/>
      <w:bookmarkStart w:id="1249" w:name="_Toc482979359"/>
      <w:bookmarkStart w:id="1250" w:name="_Toc482979250"/>
      <w:bookmarkStart w:id="1251" w:name="_Toc482979141"/>
      <w:bookmarkStart w:id="1252" w:name="_Toc482979030"/>
      <w:bookmarkStart w:id="1253" w:name="_Toc482978922"/>
      <w:bookmarkStart w:id="1254" w:name="_Toc482978813"/>
      <w:bookmarkStart w:id="1255" w:name="_Toc482959694"/>
      <w:bookmarkStart w:id="1256" w:name="_Toc482959584"/>
      <w:bookmarkStart w:id="1257" w:name="_Toc482959474"/>
      <w:bookmarkStart w:id="1258" w:name="_Toc482712704"/>
      <w:bookmarkStart w:id="1259" w:name="_Toc482641258"/>
      <w:bookmarkStart w:id="1260" w:name="_Toc482633081"/>
      <w:bookmarkStart w:id="1261" w:name="_Toc482352241"/>
      <w:bookmarkStart w:id="1262" w:name="_Toc482352151"/>
      <w:bookmarkStart w:id="1263" w:name="_Toc482352061"/>
      <w:bookmarkStart w:id="1264" w:name="_Toc482351971"/>
      <w:bookmarkStart w:id="1265" w:name="_Toc482102107"/>
      <w:bookmarkStart w:id="1266" w:name="_Toc482102013"/>
      <w:bookmarkStart w:id="1267" w:name="_Toc482101918"/>
      <w:bookmarkStart w:id="1268" w:name="_Toc482101823"/>
      <w:bookmarkStart w:id="1269" w:name="_Toc482101730"/>
      <w:bookmarkStart w:id="1270" w:name="_Toc482101555"/>
      <w:bookmarkStart w:id="1271" w:name="_Toc482101440"/>
      <w:bookmarkStart w:id="1272" w:name="_Toc482101303"/>
      <w:bookmarkStart w:id="1273" w:name="_Toc482100877"/>
      <w:bookmarkStart w:id="1274" w:name="_Toc482100720"/>
      <w:bookmarkStart w:id="1275" w:name="_Toc482099003"/>
      <w:bookmarkStart w:id="1276" w:name="_Toc482097905"/>
      <w:bookmarkStart w:id="1277" w:name="_Toc482097713"/>
      <w:bookmarkStart w:id="1278" w:name="_Toc482097624"/>
      <w:bookmarkStart w:id="1279" w:name="_Toc482097535"/>
      <w:bookmarkStart w:id="1280" w:name="_Toc482025712"/>
      <w:bookmarkStart w:id="1281" w:name="_Toc416423357"/>
      <w:bookmarkStart w:id="1282" w:name="_Toc406754172"/>
      <w:bookmarkStart w:id="1283" w:name="_Ref531184613"/>
      <w:bookmarkStart w:id="1284" w:name="_Toc89270281"/>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r>
        <w:rPr>
          <w:rFonts w:ascii="Titillium" w:hAnsi="Titillium"/>
          <w:sz w:val="18"/>
          <w:szCs w:val="18"/>
        </w:rPr>
        <w:t>REQUISITI GENERALI</w:t>
      </w:r>
      <w:bookmarkEnd w:id="1283"/>
      <w:bookmarkEnd w:id="1284"/>
      <w:r>
        <w:rPr>
          <w:rFonts w:ascii="Titillium" w:hAnsi="Titillium"/>
          <w:sz w:val="18"/>
          <w:szCs w:val="18"/>
        </w:rPr>
        <w:t xml:space="preserve"> </w:t>
      </w:r>
      <w:r w:rsidR="00C528A2">
        <w:rPr>
          <w:rFonts w:ascii="Titillium" w:hAnsi="Titillium"/>
          <w:sz w:val="18"/>
          <w:szCs w:val="18"/>
          <w:lang w:val="it-IT"/>
        </w:rPr>
        <w:t>E ALTRE CAUSE DI ESCLUSIONE</w:t>
      </w:r>
    </w:p>
    <w:p w14:paraId="3921986E" w14:textId="77777777" w:rsidR="00180931" w:rsidRPr="00AF481C" w:rsidRDefault="00180931" w:rsidP="00180931">
      <w:pPr>
        <w:spacing w:before="60"/>
        <w:rPr>
          <w:rFonts w:ascii="Titillium" w:hAnsi="Titillium" w:cs="Arial"/>
          <w:sz w:val="18"/>
          <w:szCs w:val="18"/>
        </w:rPr>
      </w:pPr>
      <w:r w:rsidRPr="00AF481C">
        <w:rPr>
          <w:rFonts w:ascii="Titillium" w:hAnsi="Titillium" w:cs="Arial"/>
          <w:sz w:val="18"/>
          <w:szCs w:val="18"/>
        </w:rPr>
        <w:t>I concorrenti devono essere in possesso, a pena di esclusione, dei requisiti di ordine generale previsti dal Codice nonché degli ulteriori requisiti indicati nel presente paragrafo.</w:t>
      </w:r>
    </w:p>
    <w:p w14:paraId="58E17705" w14:textId="77777777" w:rsidR="00180931" w:rsidRPr="008F52B0" w:rsidRDefault="00180931" w:rsidP="00180931">
      <w:pPr>
        <w:spacing w:before="60"/>
        <w:rPr>
          <w:rFonts w:ascii="Titillium" w:hAnsi="Titillium" w:cs="Arial"/>
          <w:sz w:val="18"/>
          <w:szCs w:val="18"/>
        </w:rPr>
      </w:pPr>
      <w:r w:rsidRPr="00AF481C">
        <w:rPr>
          <w:rFonts w:ascii="Titillium" w:hAnsi="Titillium" w:cs="Arial"/>
          <w:sz w:val="18"/>
          <w:szCs w:val="18"/>
        </w:rPr>
        <w:t xml:space="preserve">La stazione appaltante verifica il possesso dei requisiti di ordine generale accedendo al fascicolo virtuale dell’operatore economico (di seguito: </w:t>
      </w:r>
      <w:r w:rsidRPr="00305D5E">
        <w:rPr>
          <w:rFonts w:ascii="Titillium" w:hAnsi="Titillium" w:cs="Arial"/>
          <w:b/>
          <w:bCs/>
          <w:sz w:val="18"/>
          <w:szCs w:val="18"/>
        </w:rPr>
        <w:t>FVOE</w:t>
      </w:r>
      <w:r w:rsidRPr="008F52B0">
        <w:rPr>
          <w:rFonts w:ascii="Titillium" w:hAnsi="Titillium" w:cs="Arial"/>
          <w:sz w:val="18"/>
          <w:szCs w:val="18"/>
        </w:rPr>
        <w:t>).</w:t>
      </w:r>
    </w:p>
    <w:p w14:paraId="5C9FEA75" w14:textId="77777777" w:rsidR="00180931" w:rsidRPr="00AF481C" w:rsidRDefault="00180931" w:rsidP="00180931">
      <w:pPr>
        <w:spacing w:before="60" w:after="60"/>
        <w:rPr>
          <w:rFonts w:ascii="Titillium" w:hAnsi="Titillium" w:cs="Arial"/>
          <w:sz w:val="18"/>
          <w:szCs w:val="18"/>
        </w:rPr>
      </w:pPr>
      <w:r w:rsidRPr="00AF481C">
        <w:rPr>
          <w:rFonts w:ascii="Titillium" w:hAnsi="Titillium" w:cs="Arial"/>
          <w:sz w:val="18"/>
          <w:szCs w:val="18"/>
        </w:rPr>
        <w:t xml:space="preserve">Nella domanda di partecipazione, gli operatori economici acconsentono al trattamento dei dati tramite il FVOE, nel rispetto di quanto previsto </w:t>
      </w:r>
      <w:r w:rsidRPr="00627271">
        <w:rPr>
          <w:rFonts w:ascii="Titillium" w:hAnsi="Titillium" w:cs="Arial"/>
          <w:sz w:val="18"/>
          <w:szCs w:val="18"/>
        </w:rPr>
        <w:t>dal codice in materia di protezione dei dati personali, di cui al decreto legislativo 30 giugno 2003, n.196 e dal Regolamento UE n. 2016/679 Regolamento generale sulla protezione dei dati personali (GDPR).</w:t>
      </w:r>
      <w:r w:rsidRPr="00AF481C">
        <w:rPr>
          <w:rFonts w:ascii="Calibri" w:hAnsi="Calibri" w:cs="Calibri"/>
          <w:sz w:val="18"/>
          <w:szCs w:val="18"/>
        </w:rPr>
        <w:t> </w:t>
      </w:r>
      <w:r w:rsidRPr="00AF481C">
        <w:rPr>
          <w:rFonts w:ascii="Titillium" w:hAnsi="Titillium" w:cs="Arial"/>
          <w:sz w:val="18"/>
          <w:szCs w:val="18"/>
        </w:rPr>
        <w:t xml:space="preserve"> </w:t>
      </w:r>
    </w:p>
    <w:p w14:paraId="7DF27D11" w14:textId="77777777" w:rsidR="00180931" w:rsidRPr="00BB47F1" w:rsidRDefault="00180931" w:rsidP="00180931">
      <w:pPr>
        <w:spacing w:before="60"/>
        <w:rPr>
          <w:rFonts w:ascii="Titillium" w:hAnsi="Titillium" w:cs="Arial"/>
          <w:b/>
          <w:bCs/>
          <w:sz w:val="18"/>
          <w:szCs w:val="18"/>
        </w:rPr>
      </w:pPr>
      <w:r w:rsidRPr="00BB47F1">
        <w:rPr>
          <w:rFonts w:ascii="Titillium" w:hAnsi="Titillium" w:cs="Arial"/>
          <w:b/>
          <w:bCs/>
          <w:sz w:val="18"/>
          <w:szCs w:val="18"/>
        </w:rPr>
        <w:t>Le circostanze di cui all’articolo 94 del Codice sono cause di esclusione automatica. La sussistenza delle circostanze di cui all’articolo 95 del Codice è accertata previo contraddittorio con l’operatore economico.</w:t>
      </w:r>
    </w:p>
    <w:p w14:paraId="5AB4EAF6" w14:textId="77777777" w:rsidR="00180931" w:rsidRPr="00AF481C" w:rsidRDefault="00180931" w:rsidP="00180931">
      <w:pPr>
        <w:spacing w:before="60"/>
        <w:rPr>
          <w:rFonts w:ascii="Titillium" w:hAnsi="Titillium" w:cs="Arial"/>
          <w:sz w:val="18"/>
          <w:szCs w:val="18"/>
        </w:rPr>
      </w:pPr>
      <w:r w:rsidRPr="00AF481C">
        <w:rPr>
          <w:rFonts w:ascii="Titillium" w:hAnsi="Titillium" w:cs="Arial"/>
          <w:sz w:val="18"/>
          <w:szCs w:val="18"/>
        </w:rPr>
        <w:t>In caso di partecipazione di consorzi di cui all’articolo 65, comma 2, lettere b) e c) e d) del Codice, i requisiti di cui al presente paragrafo sono posseduti dal consorzio, dalle consorziate indicate quali esecutrici e dalle consorziate che prestano i requisiti.</w:t>
      </w:r>
    </w:p>
    <w:p w14:paraId="69A6CDE2" w14:textId="3133EF54" w:rsidR="00180931" w:rsidRDefault="00180931" w:rsidP="00180931">
      <w:pPr>
        <w:spacing w:before="60"/>
        <w:rPr>
          <w:rFonts w:ascii="Titillium" w:hAnsi="Titillium" w:cs="Arial"/>
          <w:b/>
          <w:bCs/>
          <w:sz w:val="18"/>
          <w:szCs w:val="18"/>
        </w:rPr>
      </w:pPr>
      <w:r w:rsidRPr="00953762">
        <w:rPr>
          <w:rFonts w:ascii="Titillium" w:hAnsi="Titillium" w:cs="Arial"/>
          <w:sz w:val="18"/>
          <w:szCs w:val="18"/>
        </w:rPr>
        <w:t xml:space="preserve">La mancata accettazione delle clausole contenute nell’ “Intesa per la legalità e la prevenzione dei tentativi d’infiltrazione criminale tra Prefettura-Ufficio Territoriale del Governo di Piacenza e il Comune di </w:t>
      </w:r>
      <w:r w:rsidR="00EC015E" w:rsidRPr="00953762">
        <w:rPr>
          <w:rFonts w:ascii="Titillium" w:hAnsi="Titillium" w:cs="Arial"/>
          <w:sz w:val="18"/>
          <w:szCs w:val="18"/>
        </w:rPr>
        <w:t>Castel San Giovanni</w:t>
      </w:r>
      <w:r w:rsidRPr="00953762">
        <w:rPr>
          <w:rFonts w:ascii="Titillium" w:hAnsi="Titillium" w:cs="Arial"/>
          <w:sz w:val="18"/>
          <w:szCs w:val="18"/>
        </w:rPr>
        <w:t xml:space="preserve">, sottoscritto in data </w:t>
      </w:r>
      <w:r w:rsidR="00953762" w:rsidRPr="00953762">
        <w:rPr>
          <w:rFonts w:ascii="Titillium" w:hAnsi="Titillium" w:cs="Arial"/>
          <w:sz w:val="18"/>
          <w:szCs w:val="18"/>
        </w:rPr>
        <w:t>24</w:t>
      </w:r>
      <w:r w:rsidRPr="00953762">
        <w:rPr>
          <w:rFonts w:ascii="Titillium" w:hAnsi="Titillium" w:cs="Arial"/>
          <w:sz w:val="18"/>
          <w:szCs w:val="18"/>
        </w:rPr>
        <w:t>/</w:t>
      </w:r>
      <w:r w:rsidR="00953762" w:rsidRPr="00953762">
        <w:rPr>
          <w:rFonts w:ascii="Titillium" w:hAnsi="Titillium" w:cs="Arial"/>
          <w:sz w:val="18"/>
          <w:szCs w:val="18"/>
        </w:rPr>
        <w:t>09</w:t>
      </w:r>
      <w:r w:rsidRPr="00953762">
        <w:rPr>
          <w:rFonts w:ascii="Titillium" w:hAnsi="Titillium" w:cs="Arial"/>
          <w:sz w:val="18"/>
          <w:szCs w:val="18"/>
        </w:rPr>
        <w:t>/202</w:t>
      </w:r>
      <w:r w:rsidR="00953762" w:rsidRPr="00953762">
        <w:rPr>
          <w:rFonts w:ascii="Titillium" w:hAnsi="Titillium" w:cs="Arial"/>
          <w:sz w:val="18"/>
          <w:szCs w:val="18"/>
        </w:rPr>
        <w:t>0</w:t>
      </w:r>
      <w:r w:rsidRPr="00953762">
        <w:rPr>
          <w:rFonts w:ascii="Titillium" w:hAnsi="Titillium" w:cs="Arial"/>
          <w:sz w:val="18"/>
          <w:szCs w:val="18"/>
        </w:rPr>
        <w:t xml:space="preserve"> (allegato alla documentazione di gara) nonché il mancato rispetto dello stesso costituiscono causa di esclusione dalla gara, ai sensi</w:t>
      </w:r>
      <w:r w:rsidRPr="00BA20B9">
        <w:rPr>
          <w:rFonts w:ascii="Titillium" w:hAnsi="Titillium" w:cs="Arial"/>
          <w:sz w:val="18"/>
          <w:szCs w:val="18"/>
        </w:rPr>
        <w:t xml:space="preserve"> dell’articolo 83 bis del decreto legislativo n. 159/2011</w:t>
      </w:r>
      <w:r>
        <w:rPr>
          <w:rFonts w:ascii="Titillium" w:hAnsi="Titillium" w:cs="Arial"/>
          <w:sz w:val="18"/>
          <w:szCs w:val="18"/>
        </w:rPr>
        <w:t>.</w:t>
      </w:r>
    </w:p>
    <w:p w14:paraId="3F35543B" w14:textId="77777777" w:rsidR="00180931" w:rsidRDefault="00180931" w:rsidP="00180931">
      <w:pPr>
        <w:spacing w:before="60"/>
        <w:rPr>
          <w:rFonts w:ascii="Titillium" w:hAnsi="Titillium" w:cs="Arial"/>
          <w:b/>
          <w:bCs/>
          <w:sz w:val="18"/>
          <w:szCs w:val="18"/>
        </w:rPr>
      </w:pPr>
    </w:p>
    <w:p w14:paraId="7BED424F" w14:textId="77777777" w:rsidR="00180931" w:rsidRPr="00627271" w:rsidRDefault="00180931" w:rsidP="00180931">
      <w:pPr>
        <w:pStyle w:val="Paragrafoelenco"/>
        <w:ind w:left="0"/>
        <w:rPr>
          <w:rFonts w:ascii="Titillium" w:eastAsia="SimSun" w:hAnsi="Titillium"/>
          <w:sz w:val="18"/>
          <w:szCs w:val="18"/>
        </w:rPr>
      </w:pPr>
      <w:r w:rsidRPr="00627271">
        <w:rPr>
          <w:rFonts w:ascii="Titillium" w:hAnsi="Titillium" w:cs="Calibri"/>
          <w:sz w:val="18"/>
          <w:szCs w:val="18"/>
        </w:rPr>
        <w:t>È fatta salva la possibilità di chiedere agli offerenti, in qualsiasi momento nel corso della procedura, di presentare tutti i documenti complementari o parte di essi, qualora questo sia necessario per assicurare il corretto svolgimento della procedura.</w:t>
      </w:r>
    </w:p>
    <w:p w14:paraId="5815B999" w14:textId="77777777" w:rsidR="00180931" w:rsidRPr="00627271" w:rsidRDefault="00180931" w:rsidP="00180931">
      <w:pPr>
        <w:pStyle w:val="Corpotesto"/>
        <w:tabs>
          <w:tab w:val="left" w:pos="9639"/>
        </w:tabs>
        <w:spacing w:line="276" w:lineRule="auto"/>
        <w:rPr>
          <w:rFonts w:ascii="Titillium" w:hAnsi="Titillium" w:cs="Calibri"/>
          <w:sz w:val="18"/>
          <w:szCs w:val="18"/>
          <w:lang w:val="it-IT" w:eastAsia="en-US"/>
        </w:rPr>
      </w:pPr>
      <w:r w:rsidRPr="00627271">
        <w:rPr>
          <w:rFonts w:ascii="Titillium" w:hAnsi="Titillium" w:cs="Calibri"/>
          <w:sz w:val="18"/>
          <w:szCs w:val="18"/>
          <w:lang w:val="it-IT" w:eastAsia="en-US"/>
        </w:rPr>
        <w:t xml:space="preserve">La verifica è effettuata tramite il FVOE. In caso di malfunzionamento, anche parziale, del fascicolo virtuale dell’operatore economico o delle piattaforme, banche dati o sistemi di interoperabilità ad esso connessi, la stazione appaltante si riserva di aggiudicare dopo che sono trascorsi trenta giorni dalla proposta di aggiudicazione. In tal caso richiede un’autocertificazione all’offerente, resa ai sensi del d.P.R. 28 dicembre 2000, n. 445, che attesti il possesso dei requisiti e l’assenza delle cause di esclusione che, a causa del predetto malfunzionamento, non è stato possibile verificare. </w:t>
      </w:r>
    </w:p>
    <w:p w14:paraId="547E07CF" w14:textId="77777777" w:rsidR="00180931" w:rsidRPr="00627271" w:rsidRDefault="00180931" w:rsidP="00180931">
      <w:pPr>
        <w:pStyle w:val="Corpotesto"/>
        <w:tabs>
          <w:tab w:val="left" w:pos="9639"/>
        </w:tabs>
        <w:spacing w:line="276" w:lineRule="auto"/>
        <w:rPr>
          <w:rFonts w:ascii="Titillium" w:hAnsi="Titillium" w:cs="Calibri"/>
          <w:sz w:val="18"/>
          <w:szCs w:val="18"/>
          <w:lang w:val="it-IT" w:eastAsia="en-US"/>
        </w:rPr>
      </w:pPr>
      <w:r w:rsidRPr="00627271">
        <w:rPr>
          <w:rFonts w:ascii="Titillium" w:hAnsi="Titillium" w:cs="Calibri"/>
          <w:sz w:val="18"/>
          <w:szCs w:val="18"/>
          <w:lang w:val="it-IT" w:eastAsia="en-US"/>
        </w:rPr>
        <w:t>Per le certificazioni che, allo stato, non sono ancora verificabili tramite il fascicolo virtuale dell’operatore economico, la stazione appaltante procede direttamente alla verifica presso gli Enti certificatori e, decorsi inutilmente 30 giorni dalla richiesta, si riserva di aggiudicare previa acquisizione di un’autocertificazione dall’operatore economico, resa ai sensi del d.P.R. 28 dicembre 2000, n. 445, che attesti il possesso dei requisiti e l’assenza delle cause di esclusione che non è stato possibile verificare.</w:t>
      </w:r>
    </w:p>
    <w:p w14:paraId="01FE7941" w14:textId="77777777" w:rsidR="00180931" w:rsidRPr="00627271" w:rsidRDefault="00180931" w:rsidP="00180931">
      <w:pPr>
        <w:pStyle w:val="Corpotesto"/>
        <w:tabs>
          <w:tab w:val="left" w:pos="9639"/>
        </w:tabs>
        <w:spacing w:line="276" w:lineRule="auto"/>
        <w:rPr>
          <w:rFonts w:ascii="Titillium" w:hAnsi="Titillium" w:cs="Calibri"/>
          <w:sz w:val="18"/>
          <w:szCs w:val="18"/>
          <w:lang w:val="it-IT" w:eastAsia="en-US"/>
        </w:rPr>
      </w:pPr>
    </w:p>
    <w:tbl>
      <w:tblPr>
        <w:tblStyle w:val="Grigliatabella"/>
        <w:tblW w:w="0" w:type="auto"/>
        <w:tblLook w:val="04A0" w:firstRow="1" w:lastRow="0" w:firstColumn="1" w:lastColumn="0" w:noHBand="0" w:noVBand="1"/>
      </w:tblPr>
      <w:tblGrid>
        <w:gridCol w:w="9210"/>
      </w:tblGrid>
      <w:tr w:rsidR="00180931" w:rsidRPr="00AF481C" w14:paraId="7C2B2887" w14:textId="77777777" w:rsidTr="00A03D57">
        <w:tc>
          <w:tcPr>
            <w:tcW w:w="9214" w:type="dxa"/>
          </w:tcPr>
          <w:p w14:paraId="1A7E590E" w14:textId="77777777" w:rsidR="00180931" w:rsidRPr="00AF481C" w:rsidRDefault="00180931" w:rsidP="00A03D57">
            <w:pPr>
              <w:rPr>
                <w:rFonts w:ascii="Titillium" w:hAnsi="Titillium" w:cs="Calibri"/>
                <w:color w:val="5B9BD5" w:themeColor="accent1"/>
                <w:sz w:val="18"/>
                <w:szCs w:val="18"/>
              </w:rPr>
            </w:pPr>
            <w:r w:rsidRPr="00627271">
              <w:rPr>
                <w:rFonts w:ascii="Titillium" w:hAnsi="Titillium" w:cs="Calibri"/>
                <w:sz w:val="18"/>
                <w:szCs w:val="18"/>
              </w:rPr>
              <w:t xml:space="preserve">N.B. La lista dei requisiti non ancora verificabili tramite FVOE è allegata al Comunicato del Presidente del 16 aprile 2025  ed è consultabile sul sito dell’Anac al seguente link: </w:t>
            </w:r>
            <w:hyperlink r:id="rId18" w:history="1">
              <w:r w:rsidRPr="00627271">
                <w:rPr>
                  <w:rStyle w:val="Collegamentoipertestuale"/>
                  <w:rFonts w:ascii="Titillium" w:hAnsi="Titillium" w:cs="Calibri"/>
                  <w:sz w:val="18"/>
                  <w:szCs w:val="18"/>
                </w:rPr>
                <w:t>https://www.anticorruzione.it/en/-/comunicato-del-presidente-del-16-aprile-2025-fvoe</w:t>
              </w:r>
            </w:hyperlink>
            <w:r w:rsidRPr="00627271">
              <w:rPr>
                <w:rFonts w:ascii="Titillium" w:hAnsi="Titillium" w:cs="Calibri"/>
                <w:sz w:val="18"/>
                <w:szCs w:val="18"/>
              </w:rPr>
              <w:t>. La lista viene aggiornata a mano a mano che vengono attivati nuovi collegamenti in regime di interoperabilità con gli enti certificatori.</w:t>
            </w:r>
          </w:p>
        </w:tc>
      </w:tr>
    </w:tbl>
    <w:p w14:paraId="1EBECDF6" w14:textId="77777777" w:rsidR="00180931" w:rsidRDefault="00180931" w:rsidP="00180931">
      <w:pPr>
        <w:spacing w:before="60"/>
        <w:rPr>
          <w:rFonts w:ascii="Titillium" w:hAnsi="Titillium" w:cs="Arial"/>
          <w:b/>
          <w:bCs/>
          <w:sz w:val="18"/>
          <w:szCs w:val="18"/>
        </w:rPr>
      </w:pPr>
    </w:p>
    <w:p w14:paraId="18F02738" w14:textId="77777777" w:rsidR="00180931" w:rsidRPr="00AF481C" w:rsidRDefault="00180931" w:rsidP="00180931">
      <w:pPr>
        <w:spacing w:before="60"/>
        <w:rPr>
          <w:rFonts w:ascii="Titillium" w:hAnsi="Titillium" w:cs="Arial"/>
          <w:b/>
          <w:bCs/>
          <w:sz w:val="18"/>
          <w:szCs w:val="18"/>
        </w:rPr>
      </w:pPr>
      <w:r w:rsidRPr="00AF481C">
        <w:rPr>
          <w:rFonts w:ascii="Titillium" w:hAnsi="Titillium" w:cs="Arial"/>
          <w:b/>
          <w:bCs/>
          <w:sz w:val="18"/>
          <w:szCs w:val="18"/>
        </w:rPr>
        <w:t>Self cleaning</w:t>
      </w:r>
    </w:p>
    <w:p w14:paraId="501D4272" w14:textId="77777777" w:rsidR="00180931" w:rsidRPr="00AF481C" w:rsidRDefault="00180931" w:rsidP="00180931">
      <w:pPr>
        <w:spacing w:before="60"/>
        <w:rPr>
          <w:rFonts w:ascii="Titillium" w:hAnsi="Titillium" w:cs="Arial"/>
          <w:sz w:val="18"/>
          <w:szCs w:val="18"/>
        </w:rPr>
      </w:pPr>
      <w:r w:rsidRPr="00AF481C">
        <w:rPr>
          <w:rFonts w:ascii="Titillium" w:hAnsi="Titillium" w:cs="Arial"/>
          <w:sz w:val="18"/>
          <w:szCs w:val="18"/>
        </w:rPr>
        <w:t xml:space="preserve">Un operatore economico che si trovi in una delle situazioni di cui agli articoli 94 e 95 del Codice, ad eccezione delle irregolarità contributive e fiscali definitivamente e non definitivamente accertate, può fornire prova di aver adottato misure (c.d. self cleaning) sufficienti a dimostrare la sua affidabilità. </w:t>
      </w:r>
    </w:p>
    <w:p w14:paraId="0D8AE49C" w14:textId="77777777" w:rsidR="00180931" w:rsidRPr="00AF481C" w:rsidRDefault="00180931" w:rsidP="00180931">
      <w:pPr>
        <w:spacing w:before="60"/>
        <w:rPr>
          <w:rFonts w:ascii="Titillium" w:hAnsi="Titillium" w:cs="Arial"/>
          <w:sz w:val="18"/>
          <w:szCs w:val="18"/>
        </w:rPr>
      </w:pPr>
      <w:r w:rsidRPr="00AF481C">
        <w:rPr>
          <w:rFonts w:ascii="Titillium" w:hAnsi="Titillium" w:cs="Arial"/>
          <w:sz w:val="18"/>
          <w:szCs w:val="18"/>
        </w:rPr>
        <w:t>Se la causa di esclusione si è verificata prima della presentazione dell’offerta, l’operatore economico indica nel DGUE la causa ostativa e, alternativamente:</w:t>
      </w:r>
    </w:p>
    <w:p w14:paraId="2470FC4E" w14:textId="77777777" w:rsidR="00180931" w:rsidRPr="00AF481C" w:rsidRDefault="00180931" w:rsidP="005D67CA">
      <w:pPr>
        <w:pStyle w:val="Paragrafoelenco"/>
        <w:numPr>
          <w:ilvl w:val="1"/>
          <w:numId w:val="53"/>
        </w:numPr>
        <w:spacing w:before="60"/>
        <w:ind w:left="426"/>
        <w:contextualSpacing/>
        <w:rPr>
          <w:rFonts w:ascii="Titillium" w:hAnsi="Titillium" w:cs="Arial"/>
          <w:sz w:val="18"/>
          <w:szCs w:val="18"/>
        </w:rPr>
      </w:pPr>
      <w:r w:rsidRPr="00AF481C">
        <w:rPr>
          <w:rFonts w:ascii="Titillium" w:hAnsi="Titillium" w:cs="Arial"/>
          <w:sz w:val="18"/>
          <w:szCs w:val="18"/>
        </w:rPr>
        <w:t>descrive le misure adottate ai sensi dell’articolo 96, comma 6 del Codice;</w:t>
      </w:r>
    </w:p>
    <w:p w14:paraId="1D8C08B1" w14:textId="77777777" w:rsidR="00180931" w:rsidRPr="00AF481C" w:rsidRDefault="00180931" w:rsidP="005D67CA">
      <w:pPr>
        <w:pStyle w:val="Paragrafoelenco"/>
        <w:numPr>
          <w:ilvl w:val="1"/>
          <w:numId w:val="53"/>
        </w:numPr>
        <w:spacing w:before="60"/>
        <w:ind w:left="426"/>
        <w:contextualSpacing/>
        <w:rPr>
          <w:rFonts w:ascii="Titillium" w:hAnsi="Titillium" w:cs="Arial"/>
          <w:sz w:val="18"/>
          <w:szCs w:val="18"/>
        </w:rPr>
      </w:pPr>
      <w:r w:rsidRPr="00AF481C">
        <w:rPr>
          <w:rFonts w:ascii="Titillium" w:hAnsi="Titillium" w:cs="Arial"/>
          <w:sz w:val="18"/>
          <w:szCs w:val="18"/>
        </w:rPr>
        <w:lastRenderedPageBreak/>
        <w:t xml:space="preserve">motiva l’impossibilità ad adottare dette misure e si impegna a provvedere successivamente. L’adozione delle misure è comunicata alla stazione appaltante. </w:t>
      </w:r>
    </w:p>
    <w:p w14:paraId="2036254D" w14:textId="77777777" w:rsidR="00180931" w:rsidRPr="00AF481C" w:rsidRDefault="00180931" w:rsidP="00180931">
      <w:pPr>
        <w:spacing w:before="60"/>
        <w:rPr>
          <w:rFonts w:ascii="Titillium" w:hAnsi="Titillium" w:cs="Arial"/>
          <w:sz w:val="18"/>
          <w:szCs w:val="18"/>
        </w:rPr>
      </w:pPr>
      <w:r w:rsidRPr="00AF481C">
        <w:rPr>
          <w:rFonts w:ascii="Titillium" w:hAnsi="Titillium" w:cs="Arial"/>
          <w:sz w:val="18"/>
          <w:szCs w:val="18"/>
        </w:rPr>
        <w:t>Se la causa di esclusione si è verificata successivamente alla presentazione dell’offerta, l’operatore economico adotta le misure di cui al comma 6 dell’articolo 96 del Codice dandone comunicazione alla stazione appaltante.</w:t>
      </w:r>
    </w:p>
    <w:p w14:paraId="5841BAE3" w14:textId="77777777" w:rsidR="00180931" w:rsidRPr="00AF481C" w:rsidRDefault="00180931" w:rsidP="00180931">
      <w:pPr>
        <w:spacing w:before="60"/>
        <w:rPr>
          <w:rFonts w:ascii="Titillium" w:hAnsi="Titillium" w:cs="Arial"/>
          <w:sz w:val="18"/>
          <w:szCs w:val="18"/>
        </w:rPr>
      </w:pPr>
      <w:r w:rsidRPr="00AF481C">
        <w:rPr>
          <w:rFonts w:ascii="Titillium" w:hAnsi="Titillium" w:cs="Arial"/>
          <w:sz w:val="18"/>
          <w:szCs w:val="18"/>
        </w:rPr>
        <w:t>Sono considerate misure sufficienti il risarcimento o l’impegno a risarcire qualunque danno causato dal reato o dall’illecito, la dimostrazione di aver chiarito i fatti e le circostanze in modo globale collaborando attivamente con le autorità investigative e di aver adottato provvedimenti concreti, di carattere tecnico, organizzativo o relativi al personale idonei a prevenire ulteriori reati o illeciti.</w:t>
      </w:r>
    </w:p>
    <w:p w14:paraId="6CAB6DFB" w14:textId="77777777" w:rsidR="00180931" w:rsidRPr="00AF481C" w:rsidRDefault="00180931" w:rsidP="00180931">
      <w:pPr>
        <w:spacing w:before="60"/>
        <w:rPr>
          <w:rFonts w:ascii="Titillium" w:hAnsi="Titillium" w:cs="Arial"/>
          <w:sz w:val="18"/>
          <w:szCs w:val="18"/>
        </w:rPr>
      </w:pPr>
      <w:r w:rsidRPr="00AF481C">
        <w:rPr>
          <w:rFonts w:ascii="Titillium" w:hAnsi="Titillium" w:cs="Arial"/>
          <w:sz w:val="18"/>
          <w:szCs w:val="18"/>
        </w:rPr>
        <w:t xml:space="preserve">Se le misure adottate sono ritenute sufficienti e tempestive, l’operatore economico non è escluso. Se dette misure sono ritenute insufficienti e intempestive, la stazione appaltante ne comunica le ragioni all’operatore economico. </w:t>
      </w:r>
    </w:p>
    <w:p w14:paraId="07A71605" w14:textId="77777777" w:rsidR="00180931" w:rsidRPr="00AF481C" w:rsidRDefault="00180931" w:rsidP="00180931">
      <w:pPr>
        <w:spacing w:before="60"/>
        <w:rPr>
          <w:rFonts w:ascii="Titillium" w:hAnsi="Titillium" w:cs="Arial"/>
          <w:sz w:val="18"/>
          <w:szCs w:val="18"/>
        </w:rPr>
      </w:pPr>
      <w:r w:rsidRPr="00AF481C">
        <w:rPr>
          <w:rFonts w:ascii="Titillium" w:hAnsi="Titillium" w:cs="Arial"/>
          <w:sz w:val="18"/>
          <w:szCs w:val="18"/>
        </w:rPr>
        <w:t>Non può avvalersi del self-cleaning l’operatore economico escluso con sentenza definitiva dalla partecipazione alle procedure di affidamento, nel corso del periodo di esclusione derivante da tale sentenza.</w:t>
      </w:r>
    </w:p>
    <w:p w14:paraId="2EAA8364" w14:textId="30047D95" w:rsidR="00FE205A" w:rsidRPr="00FE205A" w:rsidRDefault="00180931" w:rsidP="00180931">
      <w:pPr>
        <w:spacing w:before="60" w:after="60"/>
        <w:rPr>
          <w:rFonts w:ascii="Titillium" w:hAnsi="Titillium"/>
          <w:sz w:val="18"/>
          <w:szCs w:val="24"/>
        </w:rPr>
      </w:pPr>
      <w:r w:rsidRPr="00AF481C">
        <w:rPr>
          <w:rFonts w:ascii="Titillium" w:hAnsi="Titillium"/>
          <w:sz w:val="18"/>
          <w:szCs w:val="24"/>
        </w:rPr>
        <w:t>Nel caso in cui un raggruppamento/consorzio abbia estromesso o sostituito un partecipante/esecutrice/consorziata, avente i requisiti di cui i consorzi si avvalgono, interessato da una clausola di esclusione di cui agli articoli 94 e 95 del Codice, si valutano le misure adottate ai sensi dell’articolo 97 del Codice al fine di decidere sull’esclusione</w:t>
      </w:r>
      <w:r w:rsidR="00FE205A" w:rsidRPr="00FE205A">
        <w:rPr>
          <w:rFonts w:ascii="Titillium" w:hAnsi="Titillium"/>
          <w:sz w:val="18"/>
          <w:szCs w:val="24"/>
        </w:rPr>
        <w:t xml:space="preserve">. </w:t>
      </w:r>
    </w:p>
    <w:p w14:paraId="788DA09B" w14:textId="1E70A8DF" w:rsidR="004C53A8" w:rsidRDefault="004C53A8">
      <w:pPr>
        <w:spacing w:before="120" w:after="60"/>
        <w:rPr>
          <w:rFonts w:ascii="Titillium" w:hAnsi="Titillium" w:cs="Calibri"/>
          <w:sz w:val="18"/>
          <w:szCs w:val="18"/>
        </w:rPr>
      </w:pPr>
    </w:p>
    <w:p w14:paraId="2665CDB3" w14:textId="77777777" w:rsidR="00FE205A" w:rsidRPr="00FE205A" w:rsidRDefault="00FE205A" w:rsidP="00FE205A">
      <w:pPr>
        <w:spacing w:before="120" w:after="60"/>
        <w:rPr>
          <w:rFonts w:ascii="Titillium" w:hAnsi="Titillium" w:cs="Arial"/>
          <w:b/>
          <w:bCs/>
          <w:sz w:val="18"/>
          <w:szCs w:val="18"/>
        </w:rPr>
      </w:pPr>
      <w:r w:rsidRPr="00FE205A">
        <w:rPr>
          <w:rFonts w:ascii="Titillium" w:hAnsi="Titillium" w:cs="Arial"/>
          <w:b/>
          <w:bCs/>
          <w:sz w:val="18"/>
          <w:szCs w:val="18"/>
        </w:rPr>
        <w:t>Altre cause di esclusione</w:t>
      </w:r>
    </w:p>
    <w:p w14:paraId="6454BB9E" w14:textId="77777777" w:rsidR="003F6812" w:rsidRPr="003F6812" w:rsidRDefault="003F6812" w:rsidP="003F6812">
      <w:pPr>
        <w:spacing w:before="120" w:after="60"/>
      </w:pPr>
      <w:r w:rsidRPr="003F6812">
        <w:rPr>
          <w:rFonts w:ascii="Titillium" w:hAnsi="Titillium" w:cs="Arial"/>
          <w:sz w:val="18"/>
          <w:szCs w:val="18"/>
        </w:rPr>
        <w:t xml:space="preserve">Sono </w:t>
      </w:r>
      <w:r w:rsidRPr="003F6812">
        <w:rPr>
          <w:rFonts w:ascii="Titillium" w:hAnsi="Titillium" w:cs="Arial"/>
          <w:b/>
          <w:bCs/>
          <w:sz w:val="18"/>
          <w:szCs w:val="18"/>
        </w:rPr>
        <w:t>esclusi</w:t>
      </w:r>
      <w:r w:rsidRPr="003F6812">
        <w:rPr>
          <w:rFonts w:ascii="Titillium" w:hAnsi="Titillium" w:cs="Arial"/>
          <w:sz w:val="18"/>
          <w:szCs w:val="18"/>
        </w:rPr>
        <w:t xml:space="preserve"> gli</w:t>
      </w:r>
      <w:r w:rsidRPr="003F6812">
        <w:rPr>
          <w:rFonts w:ascii="Titillium" w:hAnsi="Titillium" w:cs="Arial"/>
          <w:b/>
          <w:sz w:val="18"/>
          <w:szCs w:val="18"/>
        </w:rPr>
        <w:t xml:space="preserve"> </w:t>
      </w:r>
      <w:r w:rsidRPr="003F6812">
        <w:rPr>
          <w:rFonts w:ascii="Titillium" w:hAnsi="Titillium" w:cs="Calibri"/>
          <w:sz w:val="18"/>
          <w:szCs w:val="18"/>
        </w:rPr>
        <w:t xml:space="preserve">operatori economici che abbiano affidato incarichi in violazione dell’articolo 53, comma 16-ter, del decreto legislativo del 2001 n. 165 a soggetti che hanno esercitato, in qualità di dipendenti, poteri autoritativi o negoziali presso l’amministrazione affidante negli ultimi tre anni. </w:t>
      </w:r>
    </w:p>
    <w:p w14:paraId="21AE7EA2" w14:textId="229DF78E" w:rsidR="003F6812" w:rsidRPr="003F6812" w:rsidRDefault="003F6812" w:rsidP="003F6812">
      <w:pPr>
        <w:spacing w:before="120" w:after="60"/>
        <w:rPr>
          <w:rFonts w:ascii="Titillium" w:hAnsi="Titillium"/>
          <w:sz w:val="18"/>
          <w:szCs w:val="18"/>
        </w:rPr>
      </w:pPr>
      <w:r w:rsidRPr="003F6812">
        <w:rPr>
          <w:rFonts w:ascii="Titillium" w:hAnsi="Titillium"/>
          <w:sz w:val="18"/>
          <w:szCs w:val="18"/>
        </w:rPr>
        <w:t xml:space="preserve">Gli operatori economici devono dichiarare di conformarsi al Codice di Comportamento dei dipendenti adottato dal Comune di </w:t>
      </w:r>
      <w:r w:rsidR="00EC015E">
        <w:rPr>
          <w:rFonts w:ascii="Titillium" w:hAnsi="Titillium"/>
          <w:sz w:val="18"/>
          <w:szCs w:val="18"/>
        </w:rPr>
        <w:t>Castel San Giovanni</w:t>
      </w:r>
      <w:r w:rsidRPr="003F6812">
        <w:rPr>
          <w:rFonts w:ascii="Titillium" w:hAnsi="Titillium"/>
          <w:sz w:val="18"/>
          <w:szCs w:val="18"/>
        </w:rPr>
        <w:t xml:space="preserve"> </w:t>
      </w:r>
      <w:r w:rsidRPr="003F6812">
        <w:rPr>
          <w:rFonts w:ascii="Titillium" w:hAnsi="Titillium" w:cs="Arial"/>
          <w:sz w:val="18"/>
          <w:szCs w:val="18"/>
        </w:rPr>
        <w:t xml:space="preserve">(approvato con </w:t>
      </w:r>
      <w:r w:rsidR="00424CB4" w:rsidRPr="00424CB4">
        <w:rPr>
          <w:rFonts w:ascii="Titillium" w:hAnsi="Titillium" w:cs="Arial"/>
          <w:sz w:val="18"/>
          <w:szCs w:val="18"/>
        </w:rPr>
        <w:t xml:space="preserve">Deliberazione Giunta Comunale </w:t>
      </w:r>
      <w:r w:rsidR="00E02BE6" w:rsidRPr="00E02BE6">
        <w:rPr>
          <w:rFonts w:ascii="Titillium" w:hAnsi="Titillium" w:cs="Arial"/>
          <w:sz w:val="18"/>
          <w:szCs w:val="18"/>
        </w:rPr>
        <w:t xml:space="preserve">n. </w:t>
      </w:r>
      <w:r w:rsidR="0098367A">
        <w:rPr>
          <w:rFonts w:ascii="Titillium" w:hAnsi="Titillium" w:cs="Arial"/>
          <w:sz w:val="18"/>
          <w:szCs w:val="18"/>
        </w:rPr>
        <w:t>137/2021</w:t>
      </w:r>
      <w:r w:rsidR="00E02BE6" w:rsidRPr="00E02BE6">
        <w:rPr>
          <w:rFonts w:ascii="Titillium" w:hAnsi="Titillium" w:cs="Arial"/>
          <w:sz w:val="18"/>
          <w:szCs w:val="18"/>
        </w:rPr>
        <w:t xml:space="preserve">, </w:t>
      </w:r>
      <w:r w:rsidR="001E1701">
        <w:rPr>
          <w:rFonts w:ascii="Titillium" w:hAnsi="Titillium" w:cs="Arial"/>
          <w:sz w:val="18"/>
          <w:szCs w:val="18"/>
        </w:rPr>
        <w:t>allegato alla documentazione</w:t>
      </w:r>
      <w:r w:rsidRPr="003F6812">
        <w:rPr>
          <w:rFonts w:ascii="Titillium" w:hAnsi="Titillium" w:cs="Arial"/>
          <w:sz w:val="18"/>
          <w:szCs w:val="18"/>
        </w:rPr>
        <w:t>)</w:t>
      </w:r>
      <w:r w:rsidRPr="003F6812">
        <w:rPr>
          <w:rFonts w:ascii="Titillium" w:hAnsi="Titillium"/>
          <w:sz w:val="18"/>
          <w:szCs w:val="18"/>
        </w:rPr>
        <w:t>.</w:t>
      </w:r>
    </w:p>
    <w:p w14:paraId="3E3CC559" w14:textId="77777777" w:rsidR="003F6812" w:rsidRPr="003F6812" w:rsidRDefault="003F6812" w:rsidP="003F6812">
      <w:pPr>
        <w:spacing w:before="120" w:after="60"/>
        <w:rPr>
          <w:rFonts w:ascii="Titillium" w:hAnsi="Titillium"/>
          <w:sz w:val="18"/>
          <w:szCs w:val="18"/>
        </w:rPr>
      </w:pPr>
      <w:r w:rsidRPr="003F6812">
        <w:rPr>
          <w:rFonts w:ascii="Titillium" w:hAnsi="Titillium"/>
          <w:sz w:val="18"/>
          <w:szCs w:val="18"/>
        </w:rPr>
        <w:t>Gli operatori economici dovranno assicurare l’assenza di condizioni ostative previste dalla L. 6 febbraio 2006 n. 38 (“</w:t>
      </w:r>
      <w:r w:rsidRPr="003F6812">
        <w:rPr>
          <w:rFonts w:ascii="Titillium" w:hAnsi="Titillium"/>
          <w:i/>
          <w:iCs/>
          <w:sz w:val="18"/>
          <w:szCs w:val="18"/>
        </w:rPr>
        <w:t>Disposizioni in materia di lotta contro lo sfruttamento sessuale dei bambini e la pedo-pornografica anche a mezzo internet</w:t>
      </w:r>
      <w:r w:rsidRPr="003F6812">
        <w:rPr>
          <w:rFonts w:ascii="Titillium" w:hAnsi="Titillium"/>
          <w:sz w:val="18"/>
          <w:szCs w:val="18"/>
        </w:rPr>
        <w:t>”) per tutto il personale impiegato e si obbligano all’osservanza degli adempimenti di cui al D. Lgs 4 marzo 2014, n. 39 (“</w:t>
      </w:r>
      <w:r w:rsidRPr="003F6812">
        <w:rPr>
          <w:rFonts w:ascii="Titillium" w:hAnsi="Titillium"/>
          <w:i/>
          <w:iCs/>
          <w:sz w:val="18"/>
          <w:szCs w:val="18"/>
        </w:rPr>
        <w:t>Attuazione della direttiva 2011/93/UE relativa alla lotta contro l'abuso e lo sfruttamento sessuale dei minori e la pornografia minorile, che sostituisce la decisione quadro 2004/68/GAI</w:t>
      </w:r>
      <w:r w:rsidRPr="003F6812">
        <w:rPr>
          <w:rFonts w:ascii="Titillium" w:hAnsi="Titillium"/>
          <w:sz w:val="18"/>
          <w:szCs w:val="18"/>
        </w:rPr>
        <w:t>”), garantendo un costante controllo sull’integrità morale del personale impiegato.</w:t>
      </w:r>
    </w:p>
    <w:p w14:paraId="7F6DCDD6" w14:textId="539A6F27" w:rsidR="004C53A8" w:rsidRDefault="00870286" w:rsidP="008300A5">
      <w:pPr>
        <w:pStyle w:val="Titolo2"/>
        <w:numPr>
          <w:ilvl w:val="0"/>
          <w:numId w:val="3"/>
        </w:numPr>
        <w:ind w:left="357" w:hanging="357"/>
      </w:pPr>
      <w:bookmarkStart w:id="1285" w:name="_Toc86769502"/>
      <w:bookmarkStart w:id="1286" w:name="_Toc87253509"/>
      <w:bookmarkStart w:id="1287" w:name="_Toc87253568"/>
      <w:bookmarkStart w:id="1288" w:name="_Toc86769503"/>
      <w:bookmarkStart w:id="1289" w:name="_Toc87253510"/>
      <w:bookmarkStart w:id="1290" w:name="_Toc87253569"/>
      <w:bookmarkStart w:id="1291" w:name="_Toc86769504"/>
      <w:bookmarkStart w:id="1292" w:name="_Toc87253511"/>
      <w:bookmarkStart w:id="1293" w:name="_Toc87253570"/>
      <w:bookmarkStart w:id="1294" w:name="_Ref497211510"/>
      <w:bookmarkStart w:id="1295" w:name="_Toc89270282"/>
      <w:bookmarkEnd w:id="1285"/>
      <w:bookmarkEnd w:id="1286"/>
      <w:bookmarkEnd w:id="1287"/>
      <w:bookmarkEnd w:id="1288"/>
      <w:bookmarkEnd w:id="1289"/>
      <w:bookmarkEnd w:id="1290"/>
      <w:bookmarkEnd w:id="1291"/>
      <w:bookmarkEnd w:id="1292"/>
      <w:bookmarkEnd w:id="1293"/>
      <w:r>
        <w:rPr>
          <w:rFonts w:ascii="Titillium" w:hAnsi="Titillium"/>
          <w:sz w:val="18"/>
          <w:szCs w:val="18"/>
        </w:rPr>
        <w:t xml:space="preserve">REQUISITI </w:t>
      </w:r>
      <w:r w:rsidR="00FE205A">
        <w:rPr>
          <w:rFonts w:ascii="Titillium" w:hAnsi="Titillium"/>
          <w:sz w:val="18"/>
          <w:szCs w:val="18"/>
          <w:lang w:val="it-IT"/>
        </w:rPr>
        <w:t xml:space="preserve">DI ORDINE </w:t>
      </w:r>
      <w:r>
        <w:rPr>
          <w:rFonts w:ascii="Titillium" w:hAnsi="Titillium"/>
          <w:sz w:val="18"/>
          <w:szCs w:val="18"/>
          <w:lang w:val="it-IT"/>
        </w:rPr>
        <w:t>SPECIAL</w:t>
      </w:r>
      <w:r w:rsidR="00FE205A">
        <w:rPr>
          <w:rFonts w:ascii="Titillium" w:hAnsi="Titillium"/>
          <w:sz w:val="18"/>
          <w:szCs w:val="18"/>
          <w:lang w:val="it-IT"/>
        </w:rPr>
        <w:t>E</w:t>
      </w:r>
      <w:r>
        <w:rPr>
          <w:rFonts w:ascii="Titillium" w:hAnsi="Titillium"/>
          <w:sz w:val="18"/>
          <w:szCs w:val="18"/>
          <w:lang w:val="it-IT"/>
        </w:rPr>
        <w:t xml:space="preserve"> E </w:t>
      </w:r>
      <w:r>
        <w:rPr>
          <w:rFonts w:ascii="Titillium" w:hAnsi="Titillium"/>
          <w:caps w:val="0"/>
          <w:sz w:val="18"/>
          <w:szCs w:val="18"/>
          <w:lang w:val="it-IT"/>
        </w:rPr>
        <w:t>MEZZI DI PROVA</w:t>
      </w:r>
      <w:bookmarkEnd w:id="1294"/>
      <w:bookmarkEnd w:id="1295"/>
    </w:p>
    <w:p w14:paraId="4F329C66" w14:textId="77777777" w:rsidR="00E57144" w:rsidRDefault="00870286" w:rsidP="004E1BC1">
      <w:pPr>
        <w:spacing w:before="60" w:after="60"/>
        <w:rPr>
          <w:rFonts w:ascii="Titillium" w:hAnsi="Titillium" w:cs="Calibri"/>
          <w:sz w:val="18"/>
          <w:szCs w:val="18"/>
        </w:rPr>
      </w:pPr>
      <w:r>
        <w:rPr>
          <w:rFonts w:ascii="Titillium" w:hAnsi="Titillium" w:cs="Calibri"/>
          <w:sz w:val="18"/>
          <w:szCs w:val="18"/>
        </w:rPr>
        <w:t>I concorrenti devono essere in possesso</w:t>
      </w:r>
      <w:r w:rsidRPr="00D71C8F">
        <w:rPr>
          <w:rFonts w:ascii="Titillium" w:hAnsi="Titillium" w:cs="Calibri"/>
          <w:sz w:val="18"/>
          <w:szCs w:val="18"/>
        </w:rPr>
        <w:t xml:space="preserve">, </w:t>
      </w:r>
      <w:r w:rsidRPr="00D71C8F">
        <w:rPr>
          <w:rFonts w:ascii="Titillium" w:hAnsi="Titillium" w:cs="Calibri"/>
          <w:bCs/>
          <w:sz w:val="18"/>
          <w:szCs w:val="18"/>
        </w:rPr>
        <w:t>a pena di esclusione</w:t>
      </w:r>
      <w:r w:rsidRPr="00D71C8F">
        <w:rPr>
          <w:rFonts w:ascii="Titillium" w:hAnsi="Titillium" w:cs="Calibri"/>
          <w:sz w:val="18"/>
          <w:szCs w:val="18"/>
        </w:rPr>
        <w:t>, dei</w:t>
      </w:r>
      <w:r>
        <w:rPr>
          <w:rFonts w:ascii="Titillium" w:hAnsi="Titillium" w:cs="Calibri"/>
          <w:sz w:val="18"/>
          <w:szCs w:val="18"/>
        </w:rPr>
        <w:t xml:space="preserve"> requisiti previsti nei commi seguenti.</w:t>
      </w:r>
    </w:p>
    <w:p w14:paraId="79178FAC" w14:textId="77777777" w:rsidR="00B654D6" w:rsidRPr="00B654D6" w:rsidRDefault="00B654D6" w:rsidP="00B654D6">
      <w:pPr>
        <w:spacing w:before="60" w:after="60"/>
        <w:rPr>
          <w:rFonts w:ascii="Titillium" w:hAnsi="Titillium" w:cs="Calibri"/>
          <w:sz w:val="18"/>
          <w:szCs w:val="18"/>
        </w:rPr>
      </w:pPr>
      <w:r w:rsidRPr="00B654D6">
        <w:rPr>
          <w:rFonts w:ascii="Titillium" w:hAnsi="Titillium" w:cs="Calibri"/>
          <w:sz w:val="18"/>
          <w:szCs w:val="18"/>
        </w:rPr>
        <w:t xml:space="preserve">La stazione appaltante verifica il possesso dei requisiti di ordine speciale accedendo al fascicolo virtuale dell’operatore economico (FVOE), fatto salvo quanto previsto nel paragrafo 25. </w:t>
      </w:r>
    </w:p>
    <w:p w14:paraId="17EFAC21" w14:textId="77777777" w:rsidR="00B654D6" w:rsidRPr="00F72728" w:rsidRDefault="00B654D6" w:rsidP="00B654D6">
      <w:pPr>
        <w:spacing w:before="60" w:after="60"/>
        <w:rPr>
          <w:rFonts w:ascii="Titillium" w:hAnsi="Titillium" w:cs="Calibri"/>
          <w:sz w:val="18"/>
          <w:szCs w:val="18"/>
        </w:rPr>
      </w:pPr>
      <w:r w:rsidRPr="00B654D6">
        <w:rPr>
          <w:rFonts w:ascii="Titillium" w:hAnsi="Titillium" w:cs="Calibri"/>
          <w:sz w:val="18"/>
          <w:szCs w:val="18"/>
        </w:rPr>
        <w:t xml:space="preserve">L’operatore economico è tenuto ad inserire nel FVOE i dati e le informazioni richiesti per la comprova del requisito, qualora questi non siano già presenti nel fascicolo o non siano già in possesso della stazione appaltante e non possano essere acquisiti </w:t>
      </w:r>
      <w:r w:rsidRPr="00F72728">
        <w:rPr>
          <w:rFonts w:ascii="Titillium" w:hAnsi="Titillium" w:cs="Calibri"/>
          <w:sz w:val="18"/>
          <w:szCs w:val="18"/>
        </w:rPr>
        <w:t>d’ufficio da quest’ultima.</w:t>
      </w:r>
    </w:p>
    <w:p w14:paraId="6D077B02" w14:textId="22BBC9C3" w:rsidR="004C53A8" w:rsidRPr="00F72728" w:rsidRDefault="004C667D" w:rsidP="008300A5">
      <w:pPr>
        <w:pStyle w:val="Titolo3"/>
        <w:numPr>
          <w:ilvl w:val="1"/>
          <w:numId w:val="3"/>
        </w:numPr>
        <w:ind w:left="426" w:hanging="426"/>
      </w:pPr>
      <w:bookmarkStart w:id="1296" w:name="_Toc497728144"/>
      <w:bookmarkStart w:id="1297" w:name="_Toc497484946"/>
      <w:bookmarkStart w:id="1298" w:name="_Toc498419731"/>
      <w:bookmarkStart w:id="1299" w:name="_Toc497831539"/>
      <w:bookmarkStart w:id="1300" w:name="_Toc89270283"/>
      <w:bookmarkEnd w:id="1296"/>
      <w:bookmarkEnd w:id="1297"/>
      <w:bookmarkEnd w:id="1298"/>
      <w:bookmarkEnd w:id="1299"/>
      <w:r w:rsidRPr="00F72728">
        <w:rPr>
          <w:rFonts w:ascii="Titillium" w:hAnsi="Titillium"/>
          <w:caps w:val="0"/>
          <w:sz w:val="18"/>
          <w:szCs w:val="18"/>
          <w:lang w:val="it-IT"/>
        </w:rPr>
        <w:t>R</w:t>
      </w:r>
      <w:r w:rsidRPr="00F72728">
        <w:rPr>
          <w:rFonts w:ascii="Titillium" w:hAnsi="Titillium"/>
          <w:caps w:val="0"/>
          <w:sz w:val="18"/>
          <w:szCs w:val="18"/>
        </w:rPr>
        <w:t>EQUISITI DI IDONEITÀ</w:t>
      </w:r>
      <w:bookmarkEnd w:id="1300"/>
      <w:r w:rsidR="00567BC0" w:rsidRPr="00F72728">
        <w:rPr>
          <w:rFonts w:ascii="Titillium" w:hAnsi="Titillium"/>
          <w:caps w:val="0"/>
          <w:sz w:val="18"/>
          <w:szCs w:val="18"/>
        </w:rPr>
        <w:t xml:space="preserve"> PROFESSIONALE</w:t>
      </w:r>
    </w:p>
    <w:p w14:paraId="4B1BCC51" w14:textId="1F82FBB7" w:rsidR="004C53A8" w:rsidRDefault="00870286" w:rsidP="003A53DD">
      <w:pPr>
        <w:pStyle w:val="Paragrafoelenco"/>
        <w:numPr>
          <w:ilvl w:val="0"/>
          <w:numId w:val="61"/>
        </w:numPr>
        <w:spacing w:before="60" w:after="60"/>
        <w:ind w:left="426"/>
      </w:pPr>
      <w:r w:rsidRPr="00F72728">
        <w:rPr>
          <w:rFonts w:ascii="Titillium" w:hAnsi="Titillium" w:cs="Arial"/>
          <w:b/>
          <w:sz w:val="18"/>
          <w:szCs w:val="18"/>
        </w:rPr>
        <w:t>iscrizione</w:t>
      </w:r>
      <w:r w:rsidRPr="00F72728">
        <w:rPr>
          <w:rFonts w:ascii="Titillium" w:hAnsi="Titillium" w:cs="Arial"/>
          <w:sz w:val="18"/>
          <w:szCs w:val="18"/>
        </w:rPr>
        <w:t xml:space="preserve"> nel R</w:t>
      </w:r>
      <w:r w:rsidRPr="00F72728">
        <w:rPr>
          <w:rFonts w:ascii="Titillium" w:hAnsi="Titillium" w:cs="Calibri"/>
          <w:sz w:val="18"/>
          <w:szCs w:val="18"/>
        </w:rPr>
        <w:t>egistro delle Imprese oppure nell’Albo delle</w:t>
      </w:r>
      <w:r w:rsidRPr="003A53DD">
        <w:rPr>
          <w:rFonts w:ascii="Titillium" w:hAnsi="Titillium" w:cs="Calibri"/>
          <w:sz w:val="18"/>
          <w:szCs w:val="18"/>
        </w:rPr>
        <w:t xml:space="preserve"> Imprese artigiane</w:t>
      </w:r>
      <w:r w:rsidR="00A55F58" w:rsidRPr="003A53DD">
        <w:rPr>
          <w:rFonts w:ascii="Titillium" w:hAnsi="Titillium" w:cs="Calibri"/>
          <w:sz w:val="18"/>
          <w:szCs w:val="18"/>
        </w:rPr>
        <w:t xml:space="preserve"> </w:t>
      </w:r>
      <w:r w:rsidRPr="003A53DD">
        <w:rPr>
          <w:rFonts w:ascii="Titillium" w:hAnsi="Titillium" w:cs="Calibri"/>
          <w:sz w:val="18"/>
          <w:szCs w:val="18"/>
        </w:rPr>
        <w:t>per attività coerenti con quelle oggetto della prese</w:t>
      </w:r>
      <w:bookmarkStart w:id="1301" w:name="_Ref495411492"/>
      <w:bookmarkEnd w:id="1301"/>
      <w:r w:rsidRPr="003A53DD">
        <w:rPr>
          <w:rFonts w:ascii="Titillium" w:hAnsi="Titillium" w:cs="Calibri"/>
          <w:sz w:val="18"/>
          <w:szCs w:val="18"/>
        </w:rPr>
        <w:t>nte procedura di gara.</w:t>
      </w:r>
    </w:p>
    <w:p w14:paraId="6A7C94F9" w14:textId="7167D6D8" w:rsidR="000104CE" w:rsidRDefault="000104CE" w:rsidP="00672621">
      <w:pPr>
        <w:spacing w:before="60" w:after="60"/>
        <w:ind w:left="284"/>
        <w:rPr>
          <w:rFonts w:ascii="Titillium" w:hAnsi="Titillium" w:cs="Calibri"/>
          <w:sz w:val="18"/>
          <w:szCs w:val="18"/>
        </w:rPr>
      </w:pPr>
      <w:r w:rsidRPr="000104CE">
        <w:rPr>
          <w:rFonts w:ascii="Titillium" w:hAnsi="Titillium" w:cs="Calibri"/>
          <w:sz w:val="18"/>
          <w:szCs w:val="18"/>
        </w:rPr>
        <w:t>Per l’operatore economico di altro Stato membro, non residente in Italia: iscrizione in uno dei registri professionali o commerciali degli altri Stati membri di cui all’allegato II.11 del Codice</w:t>
      </w:r>
      <w:r>
        <w:rPr>
          <w:rFonts w:ascii="Titillium" w:hAnsi="Titillium" w:cs="Calibri"/>
          <w:sz w:val="18"/>
          <w:szCs w:val="18"/>
        </w:rPr>
        <w:t>.</w:t>
      </w:r>
    </w:p>
    <w:p w14:paraId="388CE230" w14:textId="261ABACA" w:rsidR="006978E7" w:rsidRDefault="006978E7" w:rsidP="00672621">
      <w:pPr>
        <w:spacing w:before="60" w:after="60"/>
        <w:ind w:left="284"/>
        <w:rPr>
          <w:rFonts w:ascii="Titillium" w:hAnsi="Titillium" w:cs="Calibri"/>
          <w:sz w:val="18"/>
          <w:szCs w:val="18"/>
        </w:rPr>
      </w:pPr>
      <w:r w:rsidRPr="00672621">
        <w:rPr>
          <w:rFonts w:ascii="Titillium" w:hAnsi="Titillium" w:cs="Calibri"/>
          <w:sz w:val="18"/>
          <w:szCs w:val="18"/>
        </w:rPr>
        <w:t xml:space="preserve">In caso di </w:t>
      </w:r>
      <w:r w:rsidRPr="00273461">
        <w:rPr>
          <w:rFonts w:ascii="Titillium" w:hAnsi="Titillium" w:cs="Calibri"/>
          <w:b/>
          <w:bCs/>
          <w:sz w:val="18"/>
          <w:szCs w:val="18"/>
        </w:rPr>
        <w:t>cooperative o consorzi di cooperative</w:t>
      </w:r>
      <w:r w:rsidRPr="00672621">
        <w:rPr>
          <w:rFonts w:ascii="Titillium" w:hAnsi="Titillium" w:cs="Calibri"/>
          <w:sz w:val="18"/>
          <w:szCs w:val="18"/>
        </w:rPr>
        <w:t xml:space="preserve">, anche l’iscrizione ai sensi del D.M. 23 giugno 2004 all’Albo delle Società Cooperative istituite presso il Ministero delle Attività Produttive (ora dello Sviluppo Economico); in caso di </w:t>
      </w:r>
      <w:r w:rsidRPr="00273461">
        <w:rPr>
          <w:rFonts w:ascii="Titillium" w:hAnsi="Titillium" w:cs="Calibri"/>
          <w:b/>
          <w:bCs/>
          <w:sz w:val="18"/>
          <w:szCs w:val="18"/>
        </w:rPr>
        <w:t>cooperative sociali</w:t>
      </w:r>
      <w:r w:rsidRPr="00672621">
        <w:rPr>
          <w:rFonts w:ascii="Titillium" w:hAnsi="Titillium" w:cs="Calibri"/>
          <w:sz w:val="18"/>
          <w:szCs w:val="18"/>
        </w:rPr>
        <w:t>, anche l’iscrizione all’Albo regionale.</w:t>
      </w:r>
    </w:p>
    <w:p w14:paraId="69F72F07" w14:textId="77777777" w:rsidR="00616DAA" w:rsidRPr="003D782D" w:rsidRDefault="00616DAA" w:rsidP="00616DAA">
      <w:pPr>
        <w:spacing w:before="120" w:after="120" w:line="240" w:lineRule="auto"/>
        <w:ind w:left="284"/>
        <w:rPr>
          <w:rFonts w:ascii="Titillium" w:hAnsi="Titillium" w:cs="Calibri"/>
          <w:sz w:val="18"/>
          <w:szCs w:val="18"/>
        </w:rPr>
      </w:pPr>
      <w:r w:rsidRPr="00587A86">
        <w:rPr>
          <w:rFonts w:ascii="Titillium" w:hAnsi="Titillium" w:cs="Calibri"/>
          <w:b/>
          <w:bCs/>
          <w:sz w:val="18"/>
          <w:szCs w:val="18"/>
        </w:rPr>
        <w:t>In caso di associazioni giuridicamente o non giuridicamente riconosciute</w:t>
      </w:r>
      <w:r w:rsidRPr="003D782D">
        <w:rPr>
          <w:rFonts w:ascii="Titillium" w:hAnsi="Titillium" w:cs="Calibri"/>
          <w:sz w:val="18"/>
          <w:szCs w:val="18"/>
        </w:rPr>
        <w:t>, il possesso del codice fiscale e/o partita IVA.</w:t>
      </w:r>
    </w:p>
    <w:p w14:paraId="4AD41BB3" w14:textId="77777777" w:rsidR="00616DAA" w:rsidRPr="003D782D" w:rsidRDefault="00616DAA" w:rsidP="00616DAA">
      <w:pPr>
        <w:spacing w:before="120" w:after="120" w:line="240" w:lineRule="auto"/>
        <w:ind w:left="284"/>
        <w:rPr>
          <w:rFonts w:ascii="Titillium" w:hAnsi="Titillium" w:cs="Calibri"/>
          <w:sz w:val="18"/>
          <w:szCs w:val="18"/>
        </w:rPr>
      </w:pPr>
      <w:r w:rsidRPr="00587A86">
        <w:rPr>
          <w:rFonts w:ascii="Titillium" w:hAnsi="Titillium" w:cs="Calibri"/>
          <w:sz w:val="18"/>
          <w:szCs w:val="18"/>
          <w:u w:val="single"/>
        </w:rPr>
        <w:lastRenderedPageBreak/>
        <w:t>Ai fini della comprova</w:t>
      </w:r>
      <w:r w:rsidRPr="003D782D">
        <w:rPr>
          <w:rFonts w:ascii="Titillium" w:hAnsi="Titillium" w:cs="Calibri"/>
          <w:sz w:val="18"/>
          <w:szCs w:val="18"/>
        </w:rPr>
        <w:t>, l’iscrizione nel Registro è acquisita d’ufficio dalla stazione appaltante tramite il FVOE. Gli operatori stabiliti in altri Stati membri caricano nel fascicolo virtuale i dati e le informazioni utili alla comprova del requisito, se disponibili.</w:t>
      </w:r>
    </w:p>
    <w:p w14:paraId="46377B0B" w14:textId="77777777" w:rsidR="00616DAA" w:rsidRPr="00EC3D8D" w:rsidRDefault="00616DAA" w:rsidP="00EC3D8D">
      <w:pPr>
        <w:pStyle w:val="Paragrafoelenco"/>
        <w:numPr>
          <w:ilvl w:val="0"/>
          <w:numId w:val="61"/>
        </w:numPr>
        <w:spacing w:before="60" w:after="60"/>
        <w:ind w:left="426"/>
        <w:rPr>
          <w:rFonts w:ascii="Titillium" w:hAnsi="Titillium" w:cs="Calibri"/>
          <w:sz w:val="18"/>
          <w:szCs w:val="18"/>
        </w:rPr>
      </w:pPr>
      <w:r w:rsidRPr="00EC3D8D">
        <w:rPr>
          <w:rFonts w:ascii="Titillium" w:hAnsi="Titillium" w:cs="Calibri"/>
          <w:sz w:val="18"/>
          <w:szCs w:val="18"/>
          <w:u w:val="single"/>
        </w:rPr>
        <w:t>In caso di Società ed Associazioni sportive dilettantistiche</w:t>
      </w:r>
      <w:r w:rsidRPr="00EC3D8D">
        <w:rPr>
          <w:rFonts w:ascii="Titillium" w:hAnsi="Titillium" w:cs="Calibri"/>
          <w:sz w:val="18"/>
          <w:szCs w:val="18"/>
        </w:rPr>
        <w:t>: iscrizione ad una Federazione Sportiva Nazionale o ad Ente di Promozione Sportiva operante a livello nazionale nonché al Registro Nazionale delle Associazioni e Società Sportive Dilettantistiche istituito presso il C.O.N.I.</w:t>
      </w:r>
    </w:p>
    <w:p w14:paraId="597826BE" w14:textId="77777777" w:rsidR="00616DAA" w:rsidRPr="003D782D" w:rsidRDefault="00616DAA" w:rsidP="008202D0">
      <w:pPr>
        <w:spacing w:before="120" w:after="120" w:line="240" w:lineRule="auto"/>
        <w:ind w:left="426"/>
        <w:rPr>
          <w:rFonts w:ascii="Titillium" w:hAnsi="Titillium" w:cs="Calibri"/>
          <w:sz w:val="18"/>
          <w:szCs w:val="18"/>
        </w:rPr>
      </w:pPr>
      <w:r w:rsidRPr="003D782D">
        <w:rPr>
          <w:rFonts w:ascii="Titillium" w:hAnsi="Titillium" w:cs="Calibri"/>
          <w:sz w:val="18"/>
          <w:szCs w:val="18"/>
        </w:rPr>
        <w:t>Per l’operatore economico di altro Stato membro, non residente in Italia: secondo le modalità vigenti nello Stato nel quale è stabilito.</w:t>
      </w:r>
    </w:p>
    <w:p w14:paraId="71732761" w14:textId="77777777" w:rsidR="00616DAA" w:rsidRPr="003D782D" w:rsidRDefault="00616DAA" w:rsidP="00196C82">
      <w:pPr>
        <w:pStyle w:val="Paragrafoelenco"/>
        <w:numPr>
          <w:ilvl w:val="0"/>
          <w:numId w:val="61"/>
        </w:numPr>
        <w:spacing w:before="60" w:after="60"/>
        <w:ind w:left="426"/>
        <w:rPr>
          <w:rFonts w:ascii="Titillium" w:hAnsi="Titillium" w:cs="Calibri"/>
          <w:sz w:val="18"/>
          <w:szCs w:val="18"/>
        </w:rPr>
      </w:pPr>
      <w:r w:rsidRPr="00587A86">
        <w:rPr>
          <w:rFonts w:ascii="Titillium" w:hAnsi="Titillium" w:cs="Calibri"/>
          <w:sz w:val="18"/>
          <w:szCs w:val="18"/>
          <w:u w:val="single"/>
        </w:rPr>
        <w:t>In caso di Enti di promozione sportiva, federazioni sportive nazionali, discipline sportive associate</w:t>
      </w:r>
      <w:r w:rsidRPr="003D782D">
        <w:rPr>
          <w:rFonts w:ascii="Titillium" w:hAnsi="Titillium" w:cs="Calibri"/>
          <w:sz w:val="18"/>
          <w:szCs w:val="18"/>
        </w:rPr>
        <w:t>: essere riconosciuti dal C.O.N.I.</w:t>
      </w:r>
    </w:p>
    <w:p w14:paraId="69BAA4B4" w14:textId="77777777" w:rsidR="00616DAA" w:rsidRPr="003D782D" w:rsidRDefault="00616DAA" w:rsidP="00196C82">
      <w:pPr>
        <w:spacing w:before="120" w:after="120" w:line="240" w:lineRule="auto"/>
        <w:ind w:left="426"/>
        <w:rPr>
          <w:rFonts w:ascii="Titillium" w:hAnsi="Titillium" w:cs="Calibri"/>
          <w:sz w:val="18"/>
          <w:szCs w:val="18"/>
        </w:rPr>
      </w:pPr>
      <w:r w:rsidRPr="003D782D">
        <w:rPr>
          <w:rFonts w:ascii="Titillium" w:hAnsi="Titillium" w:cs="Calibri"/>
          <w:sz w:val="18"/>
          <w:szCs w:val="18"/>
        </w:rPr>
        <w:t>Per l’operatore economico di altro Stato membro, non residente in Italia: secondo le modalità vigenti nello Stato nel quale è stabilito.</w:t>
      </w:r>
    </w:p>
    <w:p w14:paraId="384D7FF5" w14:textId="534AE932" w:rsidR="00616DAA" w:rsidRDefault="00616DAA" w:rsidP="00616DAA">
      <w:pPr>
        <w:spacing w:before="120" w:after="120" w:line="240" w:lineRule="auto"/>
        <w:ind w:left="284"/>
        <w:rPr>
          <w:rFonts w:ascii="Titillium" w:hAnsi="Titillium"/>
          <w:sz w:val="18"/>
          <w:szCs w:val="18"/>
        </w:rPr>
      </w:pPr>
      <w:r w:rsidRPr="00970420">
        <w:rPr>
          <w:rFonts w:ascii="Titillium" w:hAnsi="Titillium" w:cs="Calibri"/>
          <w:color w:val="EE0000"/>
          <w:sz w:val="18"/>
          <w:szCs w:val="18"/>
        </w:rPr>
        <w:t xml:space="preserve">Detti requisiti devono essere posseduti ed attestati da tutti i soggetti a qualsiasi titolo partecipanti </w:t>
      </w:r>
      <w:r>
        <w:rPr>
          <w:rFonts w:ascii="Titillium" w:hAnsi="Titillium" w:cs="Calibri"/>
          <w:sz w:val="18"/>
          <w:szCs w:val="18"/>
        </w:rPr>
        <w:t xml:space="preserve">alla procedura </w:t>
      </w:r>
      <w:r w:rsidRPr="003D782D">
        <w:rPr>
          <w:rFonts w:ascii="Titillium" w:hAnsi="Titillium" w:cs="Calibri"/>
          <w:sz w:val="18"/>
          <w:szCs w:val="18"/>
        </w:rPr>
        <w:t>(e/o coinvolti a qualsiasi titolo nella procedura</w:t>
      </w:r>
      <w:r>
        <w:rPr>
          <w:rFonts w:ascii="Titillium" w:hAnsi="Titillium" w:cs="Calibri"/>
          <w:sz w:val="18"/>
          <w:szCs w:val="18"/>
        </w:rPr>
        <w:t>)</w:t>
      </w:r>
      <w:r w:rsidRPr="003D782D">
        <w:rPr>
          <w:rFonts w:ascii="Titillium" w:hAnsi="Titillium" w:cs="Calibri"/>
          <w:sz w:val="18"/>
          <w:szCs w:val="18"/>
        </w:rPr>
        <w:t>.</w:t>
      </w:r>
    </w:p>
    <w:p w14:paraId="25F7E7AA" w14:textId="2A1E8149" w:rsidR="004C53A8" w:rsidRDefault="00870286" w:rsidP="003A53DD">
      <w:pPr>
        <w:spacing w:before="60" w:after="60"/>
        <w:ind w:left="284"/>
      </w:pPr>
      <w:r>
        <w:rPr>
          <w:rFonts w:ascii="Titillium" w:hAnsi="Titillium" w:cs="Calibri"/>
          <w:sz w:val="18"/>
          <w:szCs w:val="18"/>
          <w:u w:val="single"/>
        </w:rPr>
        <w:t>Per la comprova del requisito</w:t>
      </w:r>
      <w:r>
        <w:rPr>
          <w:rFonts w:ascii="Titillium" w:hAnsi="Titillium"/>
          <w:sz w:val="18"/>
          <w:szCs w:val="18"/>
        </w:rPr>
        <w:t xml:space="preserve"> </w:t>
      </w:r>
      <w:r w:rsidR="00CB0248">
        <w:rPr>
          <w:rFonts w:ascii="Titillium" w:hAnsi="Titillium"/>
          <w:sz w:val="18"/>
          <w:szCs w:val="18"/>
        </w:rPr>
        <w:t>sono</w:t>
      </w:r>
      <w:r>
        <w:rPr>
          <w:rFonts w:ascii="Titillium" w:hAnsi="Titillium"/>
          <w:sz w:val="18"/>
          <w:szCs w:val="18"/>
        </w:rPr>
        <w:t xml:space="preserve"> acquisi</w:t>
      </w:r>
      <w:r w:rsidR="00CB0248">
        <w:rPr>
          <w:rFonts w:ascii="Titillium" w:hAnsi="Titillium"/>
          <w:sz w:val="18"/>
          <w:szCs w:val="18"/>
        </w:rPr>
        <w:t>ti</w:t>
      </w:r>
      <w:r>
        <w:rPr>
          <w:rFonts w:ascii="Titillium" w:hAnsi="Titillium"/>
          <w:sz w:val="18"/>
          <w:szCs w:val="18"/>
        </w:rPr>
        <w:t xml:space="preserve"> d’ufficio i documenti in possesso di pubbliche amministrazioni, previa indicazione, da parte dell’operatore economico, degli elementi indispensabili per il reperimento delle informazioni o dei dati richiesti.</w:t>
      </w:r>
    </w:p>
    <w:p w14:paraId="327F1DDB" w14:textId="3E80D2F6" w:rsidR="004C53A8" w:rsidRPr="00585A18" w:rsidRDefault="004C667D" w:rsidP="008300A5">
      <w:pPr>
        <w:pStyle w:val="Titolo3"/>
        <w:numPr>
          <w:ilvl w:val="1"/>
          <w:numId w:val="3"/>
        </w:numPr>
        <w:ind w:left="426" w:hanging="426"/>
      </w:pPr>
      <w:bookmarkStart w:id="1302" w:name="_Toc484688287"/>
      <w:bookmarkStart w:id="1303" w:name="_Toc484605418"/>
      <w:bookmarkStart w:id="1304" w:name="_Toc484605294"/>
      <w:bookmarkStart w:id="1305" w:name="_Toc484526574"/>
      <w:bookmarkStart w:id="1306" w:name="_Toc484449079"/>
      <w:bookmarkStart w:id="1307" w:name="_Toc484448955"/>
      <w:bookmarkStart w:id="1308" w:name="_Toc484448831"/>
      <w:bookmarkStart w:id="1309" w:name="_Toc484448708"/>
      <w:bookmarkStart w:id="1310" w:name="_Toc484448584"/>
      <w:bookmarkStart w:id="1311" w:name="_Toc484448460"/>
      <w:bookmarkStart w:id="1312" w:name="_Toc484448336"/>
      <w:bookmarkStart w:id="1313" w:name="_Toc484448212"/>
      <w:bookmarkStart w:id="1314" w:name="_Toc484448087"/>
      <w:bookmarkStart w:id="1315" w:name="_Toc484440428"/>
      <w:bookmarkStart w:id="1316" w:name="_Toc484440068"/>
      <w:bookmarkStart w:id="1317" w:name="_Toc484439944"/>
      <w:bookmarkStart w:id="1318" w:name="_Toc484439821"/>
      <w:bookmarkStart w:id="1319" w:name="_Toc484438901"/>
      <w:bookmarkStart w:id="1320" w:name="_Toc484438777"/>
      <w:bookmarkStart w:id="1321" w:name="_Toc484438653"/>
      <w:bookmarkStart w:id="1322" w:name="_Toc484429078"/>
      <w:bookmarkStart w:id="1323" w:name="_Toc484428908"/>
      <w:bookmarkStart w:id="1324" w:name="_Toc484097736"/>
      <w:bookmarkStart w:id="1325" w:name="_Toc484011662"/>
      <w:bookmarkStart w:id="1326" w:name="_Toc484011187"/>
      <w:bookmarkStart w:id="1327" w:name="_Toc484011065"/>
      <w:bookmarkStart w:id="1328" w:name="_Toc484010943"/>
      <w:bookmarkStart w:id="1329" w:name="_Toc484010819"/>
      <w:bookmarkStart w:id="1330" w:name="_Toc484010697"/>
      <w:bookmarkStart w:id="1331" w:name="_Toc483906947"/>
      <w:bookmarkStart w:id="1332" w:name="_Toc483571570"/>
      <w:bookmarkStart w:id="1333" w:name="_Toc483571449"/>
      <w:bookmarkStart w:id="1334" w:name="_Toc483474020"/>
      <w:bookmarkStart w:id="1335" w:name="_Toc483401223"/>
      <w:bookmarkStart w:id="1336" w:name="_Toc483325744"/>
      <w:bookmarkStart w:id="1337" w:name="_Toc483316441"/>
      <w:bookmarkStart w:id="1338" w:name="_Toc483316310"/>
      <w:bookmarkStart w:id="1339" w:name="_Toc483316107"/>
      <w:bookmarkStart w:id="1340" w:name="_Toc483315902"/>
      <w:bookmarkStart w:id="1341" w:name="_Toc483302352"/>
      <w:bookmarkStart w:id="1342" w:name="_Toc485218278"/>
      <w:bookmarkStart w:id="1343" w:name="_Toc484688842"/>
      <w:bookmarkStart w:id="1344" w:name="_Ref495411575"/>
      <w:bookmarkStart w:id="1345" w:name="_Toc89270284"/>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r w:rsidRPr="00585A18">
        <w:rPr>
          <w:rFonts w:ascii="Titillium" w:hAnsi="Titillium"/>
          <w:caps w:val="0"/>
          <w:sz w:val="18"/>
          <w:szCs w:val="18"/>
          <w:lang w:val="it-IT"/>
        </w:rPr>
        <w:t>R</w:t>
      </w:r>
      <w:r w:rsidRPr="00585A18">
        <w:rPr>
          <w:rFonts w:ascii="Titillium" w:hAnsi="Titillium"/>
          <w:caps w:val="0"/>
          <w:sz w:val="18"/>
          <w:szCs w:val="18"/>
        </w:rPr>
        <w:t>EQUISITI DI CAPACITÀ ECONOMICA E FINANZIARIA</w:t>
      </w:r>
      <w:bookmarkEnd w:id="1344"/>
      <w:bookmarkEnd w:id="1345"/>
      <w:r w:rsidRPr="00585A18">
        <w:rPr>
          <w:rFonts w:ascii="Titillium" w:hAnsi="Titillium"/>
          <w:caps w:val="0"/>
          <w:sz w:val="18"/>
          <w:szCs w:val="18"/>
          <w:lang w:val="it-IT"/>
        </w:rPr>
        <w:t xml:space="preserve"> </w:t>
      </w:r>
    </w:p>
    <w:p w14:paraId="51A91DC5" w14:textId="4D4AFE1B" w:rsidR="004C53A8" w:rsidRPr="000B02C0" w:rsidRDefault="00A8285C">
      <w:pPr>
        <w:spacing w:before="60" w:after="60"/>
        <w:rPr>
          <w:rFonts w:ascii="Titillium" w:hAnsi="Titillium" w:cs="Calibri"/>
          <w:sz w:val="18"/>
          <w:szCs w:val="18"/>
        </w:rPr>
      </w:pPr>
      <w:r w:rsidRPr="00585A18">
        <w:rPr>
          <w:rFonts w:ascii="Titillium" w:hAnsi="Titillium" w:cs="Calibri"/>
          <w:b/>
          <w:sz w:val="18"/>
          <w:szCs w:val="18"/>
        </w:rPr>
        <w:t xml:space="preserve">          </w:t>
      </w:r>
      <w:r w:rsidR="00300AD7" w:rsidRPr="00585A18">
        <w:rPr>
          <w:rFonts w:ascii="Titillium" w:hAnsi="Titillium" w:cs="Calibri"/>
          <w:b/>
          <w:sz w:val="18"/>
          <w:szCs w:val="18"/>
        </w:rPr>
        <w:t xml:space="preserve"> </w:t>
      </w:r>
      <w:r w:rsidR="004E639F" w:rsidRPr="00585A18">
        <w:rPr>
          <w:rFonts w:ascii="Titillium" w:hAnsi="Titillium" w:cs="Calibri"/>
          <w:b/>
          <w:sz w:val="18"/>
          <w:szCs w:val="18"/>
        </w:rPr>
        <w:t xml:space="preserve"> </w:t>
      </w:r>
      <w:r w:rsidR="006F70BB" w:rsidRPr="00585A18">
        <w:rPr>
          <w:rFonts w:ascii="Titillium" w:hAnsi="Titillium" w:cs="Calibri"/>
          <w:b/>
          <w:sz w:val="18"/>
          <w:szCs w:val="18"/>
          <w:u w:val="single"/>
        </w:rPr>
        <w:t xml:space="preserve">NON </w:t>
      </w:r>
      <w:r w:rsidR="006F70BB" w:rsidRPr="000B02C0">
        <w:rPr>
          <w:rFonts w:ascii="Titillium" w:hAnsi="Titillium" w:cs="Calibri"/>
          <w:b/>
          <w:sz w:val="18"/>
          <w:szCs w:val="18"/>
          <w:u w:val="single"/>
        </w:rPr>
        <w:t>SONO RICHIESTI</w:t>
      </w:r>
      <w:r w:rsidR="006F70BB" w:rsidRPr="000B02C0">
        <w:rPr>
          <w:rFonts w:ascii="Titillium" w:hAnsi="Titillium" w:cs="Calibri"/>
          <w:sz w:val="18"/>
          <w:szCs w:val="18"/>
        </w:rPr>
        <w:t>.</w:t>
      </w:r>
    </w:p>
    <w:p w14:paraId="7FCBF15A" w14:textId="4EF1D350" w:rsidR="004C53A8" w:rsidRPr="00151B50" w:rsidRDefault="004C667D" w:rsidP="008300A5">
      <w:pPr>
        <w:pStyle w:val="Titolo3"/>
        <w:numPr>
          <w:ilvl w:val="1"/>
          <w:numId w:val="3"/>
        </w:numPr>
        <w:ind w:left="426" w:hanging="426"/>
        <w:rPr>
          <w:rFonts w:ascii="Titillium" w:hAnsi="Titillium"/>
          <w:sz w:val="18"/>
          <w:szCs w:val="18"/>
          <w:lang w:val="it-IT"/>
        </w:rPr>
      </w:pPr>
      <w:bookmarkStart w:id="1346" w:name="_Ref495506173"/>
      <w:bookmarkStart w:id="1347" w:name="_Ref495482790"/>
      <w:bookmarkStart w:id="1348" w:name="_Ref495482769"/>
      <w:bookmarkStart w:id="1349" w:name="_Ref495411584"/>
      <w:bookmarkStart w:id="1350" w:name="_Ref496707577"/>
      <w:bookmarkStart w:id="1351" w:name="_Ref495920623"/>
      <w:bookmarkStart w:id="1352" w:name="_Toc89270285"/>
      <w:r w:rsidRPr="00151B50">
        <w:rPr>
          <w:rFonts w:ascii="Titillium" w:hAnsi="Titillium"/>
          <w:caps w:val="0"/>
          <w:sz w:val="18"/>
          <w:szCs w:val="18"/>
          <w:lang w:val="it-IT"/>
        </w:rPr>
        <w:t>REQUISITI DI CAPACITÀ TECNICA E PROFESSIONALE</w:t>
      </w:r>
      <w:bookmarkEnd w:id="1346"/>
      <w:bookmarkEnd w:id="1347"/>
      <w:bookmarkEnd w:id="1348"/>
      <w:bookmarkEnd w:id="1349"/>
      <w:bookmarkEnd w:id="1350"/>
      <w:bookmarkEnd w:id="1351"/>
      <w:bookmarkEnd w:id="1352"/>
    </w:p>
    <w:p w14:paraId="3855A3D0" w14:textId="26E19715" w:rsidR="007171DB" w:rsidRPr="000B02C0" w:rsidRDefault="007171DB" w:rsidP="00567BC0">
      <w:pPr>
        <w:suppressAutoHyphens/>
        <w:spacing w:before="60" w:after="60"/>
        <w:textAlignment w:val="baseline"/>
        <w:rPr>
          <w:rFonts w:ascii="Titillium" w:eastAsia="Calibri" w:hAnsi="Titillium" w:cs="Arial"/>
          <w:b/>
          <w:i/>
          <w:sz w:val="18"/>
          <w:szCs w:val="18"/>
          <w:lang w:eastAsia="it-IT"/>
        </w:rPr>
      </w:pPr>
      <w:r w:rsidRPr="000B02C0">
        <w:rPr>
          <w:rFonts w:ascii="Titillium" w:eastAsia="Calibri" w:hAnsi="Titillium" w:cs="Arial"/>
          <w:sz w:val="18"/>
          <w:szCs w:val="18"/>
          <w:lang w:eastAsia="it-IT"/>
        </w:rPr>
        <w:t xml:space="preserve">Ogni operatore economico concorrente deve, </w:t>
      </w:r>
      <w:r w:rsidRPr="000B02C0">
        <w:rPr>
          <w:rFonts w:ascii="Titillium" w:eastAsia="Calibri" w:hAnsi="Titillium" w:cs="Arial"/>
          <w:b/>
          <w:sz w:val="18"/>
          <w:szCs w:val="18"/>
          <w:lang w:eastAsia="it-IT"/>
        </w:rPr>
        <w:t>a pena di esclusione</w:t>
      </w:r>
      <w:r w:rsidRPr="000B02C0">
        <w:rPr>
          <w:rFonts w:ascii="Titillium" w:eastAsia="Calibri" w:hAnsi="Titillium" w:cs="Arial"/>
          <w:sz w:val="18"/>
          <w:szCs w:val="18"/>
          <w:lang w:eastAsia="it-IT"/>
        </w:rPr>
        <w:t>, essere in possesso del seguente requisito di capacità tecnico professionale:</w:t>
      </w:r>
      <w:r w:rsidRPr="000B02C0">
        <w:rPr>
          <w:rFonts w:ascii="Titillium" w:eastAsia="Calibri" w:hAnsi="Titillium" w:cs="Arial"/>
          <w:b/>
          <w:i/>
          <w:sz w:val="18"/>
          <w:szCs w:val="18"/>
          <w:lang w:eastAsia="it-IT"/>
        </w:rPr>
        <w:t xml:space="preserve"> </w:t>
      </w:r>
    </w:p>
    <w:p w14:paraId="577AC03D" w14:textId="5DB64DDF" w:rsidR="00342041" w:rsidRPr="00342041" w:rsidRDefault="00342041" w:rsidP="00342041">
      <w:pPr>
        <w:pStyle w:val="Paragrafoelenco"/>
        <w:numPr>
          <w:ilvl w:val="0"/>
          <w:numId w:val="61"/>
        </w:numPr>
        <w:spacing w:before="60" w:after="60"/>
        <w:ind w:left="426"/>
        <w:rPr>
          <w:rFonts w:ascii="Titillium" w:hAnsi="Titillium" w:cs="Arial"/>
          <w:iCs/>
          <w:sz w:val="18"/>
          <w:szCs w:val="18"/>
        </w:rPr>
      </w:pPr>
      <w:r>
        <w:rPr>
          <w:rFonts w:ascii="Titillium" w:hAnsi="Titillium" w:cs="Arial"/>
          <w:iCs/>
          <w:sz w:val="18"/>
          <w:szCs w:val="18"/>
        </w:rPr>
        <w:t>e</w:t>
      </w:r>
      <w:r w:rsidRPr="00342041">
        <w:rPr>
          <w:rFonts w:ascii="Titillium" w:hAnsi="Titillium" w:cs="Arial"/>
          <w:iCs/>
          <w:sz w:val="18"/>
          <w:szCs w:val="18"/>
        </w:rPr>
        <w:t>secuzione regolare negli ultimi dieci anni, di almeno 1 servizio analogo a quello oggetto del presente appalto per un importo complessivo non inferiore ad € 147.000,00 (70% base di gara).</w:t>
      </w:r>
    </w:p>
    <w:p w14:paraId="1B2DC844" w14:textId="77777777" w:rsidR="00342041" w:rsidRPr="00342041" w:rsidRDefault="00342041" w:rsidP="00342041">
      <w:pPr>
        <w:pStyle w:val="Paragrafoelenco"/>
        <w:spacing w:before="60" w:after="60"/>
        <w:ind w:left="426"/>
        <w:rPr>
          <w:rFonts w:ascii="Titillium" w:hAnsi="Titillium" w:cs="Arial"/>
          <w:iCs/>
          <w:sz w:val="18"/>
          <w:szCs w:val="18"/>
        </w:rPr>
      </w:pPr>
      <w:r w:rsidRPr="00342041">
        <w:rPr>
          <w:rFonts w:ascii="Titillium" w:hAnsi="Titillium" w:cs="Arial"/>
          <w:iCs/>
          <w:sz w:val="18"/>
          <w:szCs w:val="18"/>
        </w:rPr>
        <w:t>A tal fine, il concorrente deve indicare per ogni servizio l’oggetto, l’importo, la durata contrattuale, i destinatari del servizio medesimo e il relativo CIG.</w:t>
      </w:r>
    </w:p>
    <w:p w14:paraId="472CBF1D" w14:textId="77777777" w:rsidR="00395AE9" w:rsidRDefault="00342041" w:rsidP="00342041">
      <w:pPr>
        <w:pStyle w:val="Paragrafoelenco"/>
        <w:spacing w:before="60" w:after="60"/>
        <w:ind w:left="426"/>
        <w:rPr>
          <w:rFonts w:ascii="Titillium" w:hAnsi="Titillium" w:cs="Arial"/>
          <w:iCs/>
          <w:sz w:val="18"/>
          <w:szCs w:val="18"/>
        </w:rPr>
      </w:pPr>
      <w:r w:rsidRPr="00342041">
        <w:rPr>
          <w:rFonts w:ascii="Titillium" w:hAnsi="Titillium" w:cs="Arial"/>
          <w:iCs/>
          <w:sz w:val="18"/>
          <w:szCs w:val="18"/>
        </w:rPr>
        <w:t>Si precisa che per “</w:t>
      </w:r>
      <w:r w:rsidRPr="00F56AE7">
        <w:rPr>
          <w:rFonts w:ascii="Titillium" w:hAnsi="Titillium" w:cs="Arial"/>
          <w:i/>
          <w:sz w:val="18"/>
          <w:szCs w:val="18"/>
        </w:rPr>
        <w:t>servizio analogo</w:t>
      </w:r>
      <w:r w:rsidRPr="00342041">
        <w:rPr>
          <w:rFonts w:ascii="Titillium" w:hAnsi="Titillium" w:cs="Arial"/>
          <w:iCs/>
          <w:sz w:val="18"/>
          <w:szCs w:val="18"/>
        </w:rPr>
        <w:t>” si intende un servizio di gestione di un impianto sportivo all'aperto destinato a sport di squadra, dotato di manto erboso (naturale o sintetico), tribune e relativi locali accessori (spogliatoi e servizi), ad uso pubblico o privato, prestato a favore di committenti pubblici o privati.</w:t>
      </w:r>
    </w:p>
    <w:p w14:paraId="6106D8DD" w14:textId="7247CA67" w:rsidR="00EA24C7" w:rsidRPr="000B02C0" w:rsidRDefault="00EA24C7" w:rsidP="00342041">
      <w:pPr>
        <w:pStyle w:val="Paragrafoelenco"/>
        <w:spacing w:before="60" w:after="60"/>
        <w:ind w:left="426"/>
        <w:rPr>
          <w:rFonts w:ascii="Titillium" w:hAnsi="Titillium" w:cs="Arial"/>
          <w:sz w:val="18"/>
          <w:szCs w:val="18"/>
        </w:rPr>
      </w:pPr>
      <w:r w:rsidRPr="00FE342B">
        <w:rPr>
          <w:rFonts w:ascii="Titillium" w:hAnsi="Titillium" w:cs="Arial"/>
          <w:sz w:val="18"/>
          <w:szCs w:val="18"/>
        </w:rPr>
        <w:t>La comprova</w:t>
      </w:r>
      <w:r w:rsidRPr="000B02C0">
        <w:rPr>
          <w:rFonts w:ascii="Titillium" w:hAnsi="Titillium" w:cs="Arial"/>
          <w:sz w:val="18"/>
          <w:szCs w:val="18"/>
        </w:rPr>
        <w:t xml:space="preserve"> del requisito è fornita mediante uno o più dei seguenti documenti:</w:t>
      </w:r>
    </w:p>
    <w:p w14:paraId="5EBA7272" w14:textId="77777777" w:rsidR="00EA24C7" w:rsidRPr="000B02C0" w:rsidRDefault="00EA24C7" w:rsidP="00500233">
      <w:pPr>
        <w:pStyle w:val="Paragrafoelenco"/>
        <w:numPr>
          <w:ilvl w:val="0"/>
          <w:numId w:val="26"/>
        </w:numPr>
        <w:ind w:left="709" w:hanging="283"/>
        <w:rPr>
          <w:rFonts w:ascii="Titillium" w:hAnsi="Titillium" w:cs="Arial"/>
          <w:sz w:val="18"/>
          <w:szCs w:val="18"/>
        </w:rPr>
      </w:pPr>
      <w:r w:rsidRPr="000B02C0">
        <w:rPr>
          <w:rFonts w:ascii="Titillium" w:hAnsi="Titillium" w:cs="Arial"/>
          <w:sz w:val="18"/>
          <w:szCs w:val="18"/>
        </w:rPr>
        <w:t>certificati rilasciati dall’amministrazione/ente contraente, con l’indicazione dell’oggetto, dell’importo e del periodo di esecuzione;</w:t>
      </w:r>
    </w:p>
    <w:p w14:paraId="31C5694A" w14:textId="77777777" w:rsidR="00EA24C7" w:rsidRPr="000B02C0" w:rsidRDefault="00EA24C7" w:rsidP="00500233">
      <w:pPr>
        <w:pStyle w:val="Paragrafoelenco"/>
        <w:numPr>
          <w:ilvl w:val="0"/>
          <w:numId w:val="26"/>
        </w:numPr>
        <w:ind w:left="709" w:hanging="283"/>
        <w:rPr>
          <w:rFonts w:ascii="Titillium" w:hAnsi="Titillium" w:cs="Arial"/>
          <w:sz w:val="18"/>
          <w:szCs w:val="18"/>
        </w:rPr>
      </w:pPr>
      <w:r w:rsidRPr="000B02C0">
        <w:rPr>
          <w:rFonts w:ascii="Titillium" w:hAnsi="Titillium" w:cs="Arial"/>
          <w:sz w:val="18"/>
          <w:szCs w:val="18"/>
        </w:rPr>
        <w:t>contratti stipulati con le amministrazioni pubbliche, completi di copia delle fatture quietanzate ovvero dei documenti bancari attestanti il pagamento delle stesse;</w:t>
      </w:r>
    </w:p>
    <w:p w14:paraId="7D65089B" w14:textId="77777777" w:rsidR="00EA24C7" w:rsidRPr="000B02C0" w:rsidRDefault="00EA24C7" w:rsidP="00500233">
      <w:pPr>
        <w:pStyle w:val="Paragrafoelenco"/>
        <w:numPr>
          <w:ilvl w:val="0"/>
          <w:numId w:val="26"/>
        </w:numPr>
        <w:ind w:left="709" w:hanging="283"/>
        <w:rPr>
          <w:rFonts w:ascii="Titillium" w:hAnsi="Titillium" w:cs="Arial"/>
          <w:sz w:val="18"/>
          <w:szCs w:val="18"/>
        </w:rPr>
      </w:pPr>
      <w:r w:rsidRPr="000B02C0">
        <w:rPr>
          <w:rFonts w:ascii="Titillium" w:hAnsi="Titillium" w:cs="Arial"/>
          <w:sz w:val="18"/>
          <w:szCs w:val="18"/>
        </w:rPr>
        <w:t>attestazioni rilasciate dal committente privato, con l’indicazione dell’oggetto, dell’importo e del periodo di esecuzione;</w:t>
      </w:r>
    </w:p>
    <w:p w14:paraId="28082283" w14:textId="77777777" w:rsidR="00EA24C7" w:rsidRPr="000B02C0" w:rsidRDefault="00EA24C7" w:rsidP="00500233">
      <w:pPr>
        <w:pStyle w:val="Paragrafoelenco"/>
        <w:numPr>
          <w:ilvl w:val="0"/>
          <w:numId w:val="26"/>
        </w:numPr>
        <w:ind w:left="709" w:hanging="283"/>
        <w:rPr>
          <w:rFonts w:ascii="Titillium" w:hAnsi="Titillium" w:cs="Arial"/>
          <w:sz w:val="18"/>
          <w:szCs w:val="18"/>
        </w:rPr>
      </w:pPr>
      <w:r w:rsidRPr="000B02C0">
        <w:rPr>
          <w:rFonts w:ascii="Titillium" w:hAnsi="Titillium" w:cs="Arial"/>
          <w:sz w:val="18"/>
          <w:szCs w:val="18"/>
        </w:rPr>
        <w:t>contratti stipulati con privati, completi di copia delle fatture quietanzate ovvero dei documenti bancari attestanti il pagamento delle stesse.</w:t>
      </w:r>
    </w:p>
    <w:p w14:paraId="2163F150" w14:textId="77777777" w:rsidR="006E2EA6" w:rsidRPr="000B02C0" w:rsidRDefault="006E2EA6" w:rsidP="006E2EA6">
      <w:pPr>
        <w:keepNext/>
        <w:numPr>
          <w:ilvl w:val="1"/>
          <w:numId w:val="3"/>
        </w:numPr>
        <w:spacing w:before="240" w:after="60"/>
        <w:ind w:left="426" w:hanging="426"/>
        <w:outlineLvl w:val="2"/>
        <w:rPr>
          <w:rFonts w:ascii="Titillium" w:hAnsi="Titillium"/>
          <w:b/>
          <w:bCs/>
          <w:sz w:val="18"/>
          <w:szCs w:val="18"/>
        </w:rPr>
      </w:pPr>
      <w:bookmarkStart w:id="1353" w:name="_Toc497728149"/>
      <w:bookmarkStart w:id="1354" w:name="_Toc497484951"/>
      <w:bookmarkStart w:id="1355" w:name="_Toc485218285"/>
      <w:bookmarkStart w:id="1356" w:name="_Toc484688849"/>
      <w:bookmarkStart w:id="1357" w:name="_Toc484688294"/>
      <w:bookmarkStart w:id="1358" w:name="_Toc484605425"/>
      <w:bookmarkStart w:id="1359" w:name="_Toc484605301"/>
      <w:bookmarkStart w:id="1360" w:name="_Toc484526581"/>
      <w:bookmarkStart w:id="1361" w:name="_Toc484449086"/>
      <w:bookmarkStart w:id="1362" w:name="_Toc484448962"/>
      <w:bookmarkStart w:id="1363" w:name="_Toc484448838"/>
      <w:bookmarkStart w:id="1364" w:name="_Toc484448715"/>
      <w:bookmarkStart w:id="1365" w:name="_Toc484448591"/>
      <w:bookmarkStart w:id="1366" w:name="_Toc484448467"/>
      <w:bookmarkStart w:id="1367" w:name="_Toc484448343"/>
      <w:bookmarkStart w:id="1368" w:name="_Toc484448219"/>
      <w:bookmarkStart w:id="1369" w:name="_Toc484448094"/>
      <w:bookmarkStart w:id="1370" w:name="_Toc484440435"/>
      <w:bookmarkStart w:id="1371" w:name="_Toc484440075"/>
      <w:bookmarkStart w:id="1372" w:name="_Toc484439951"/>
      <w:bookmarkStart w:id="1373" w:name="_Toc484439828"/>
      <w:bookmarkStart w:id="1374" w:name="_Toc484438908"/>
      <w:bookmarkStart w:id="1375" w:name="_Toc484438784"/>
      <w:bookmarkStart w:id="1376" w:name="_Toc484438660"/>
      <w:bookmarkStart w:id="1377" w:name="_Toc484429085"/>
      <w:bookmarkStart w:id="1378" w:name="_Toc484428915"/>
      <w:bookmarkStart w:id="1379" w:name="_Toc484097743"/>
      <w:bookmarkStart w:id="1380" w:name="_Toc484011669"/>
      <w:bookmarkStart w:id="1381" w:name="_Toc484011194"/>
      <w:bookmarkStart w:id="1382" w:name="_Toc484011072"/>
      <w:bookmarkStart w:id="1383" w:name="_Toc484010950"/>
      <w:bookmarkStart w:id="1384" w:name="_Toc484010826"/>
      <w:bookmarkStart w:id="1385" w:name="_Toc484010704"/>
      <w:bookmarkStart w:id="1386" w:name="_Toc483906954"/>
      <w:bookmarkStart w:id="1387" w:name="_Toc483571577"/>
      <w:bookmarkStart w:id="1388" w:name="_Toc483571456"/>
      <w:bookmarkStart w:id="1389" w:name="_Toc483474027"/>
      <w:bookmarkStart w:id="1390" w:name="_Toc483401230"/>
      <w:bookmarkStart w:id="1391" w:name="_Toc483325751"/>
      <w:bookmarkStart w:id="1392" w:name="_Toc483316448"/>
      <w:bookmarkStart w:id="1393" w:name="_Toc483316317"/>
      <w:bookmarkStart w:id="1394" w:name="_Toc483316114"/>
      <w:bookmarkStart w:id="1395" w:name="_Toc483315909"/>
      <w:bookmarkStart w:id="1396" w:name="_Toc483302359"/>
      <w:bookmarkStart w:id="1397" w:name="_Toc485218284"/>
      <w:bookmarkStart w:id="1398" w:name="_Toc484688848"/>
      <w:bookmarkStart w:id="1399" w:name="_Toc484688293"/>
      <w:bookmarkStart w:id="1400" w:name="_Toc484605424"/>
      <w:bookmarkStart w:id="1401" w:name="_Toc484605300"/>
      <w:bookmarkStart w:id="1402" w:name="_Toc484526580"/>
      <w:bookmarkStart w:id="1403" w:name="_Toc484449085"/>
      <w:bookmarkStart w:id="1404" w:name="_Toc484448961"/>
      <w:bookmarkStart w:id="1405" w:name="_Toc484448837"/>
      <w:bookmarkStart w:id="1406" w:name="_Toc484448714"/>
      <w:bookmarkStart w:id="1407" w:name="_Toc484448590"/>
      <w:bookmarkStart w:id="1408" w:name="_Toc484448466"/>
      <w:bookmarkStart w:id="1409" w:name="_Toc484448342"/>
      <w:bookmarkStart w:id="1410" w:name="_Toc484448218"/>
      <w:bookmarkStart w:id="1411" w:name="_Toc484448093"/>
      <w:bookmarkStart w:id="1412" w:name="_Toc484440434"/>
      <w:bookmarkStart w:id="1413" w:name="_Toc484440074"/>
      <w:bookmarkStart w:id="1414" w:name="_Toc484439950"/>
      <w:bookmarkStart w:id="1415" w:name="_Toc484439827"/>
      <w:bookmarkStart w:id="1416" w:name="_Toc484438907"/>
      <w:bookmarkStart w:id="1417" w:name="_Toc484438783"/>
      <w:bookmarkStart w:id="1418" w:name="_Toc484438659"/>
      <w:bookmarkStart w:id="1419" w:name="_Toc484429084"/>
      <w:bookmarkStart w:id="1420" w:name="_Toc484428914"/>
      <w:bookmarkStart w:id="1421" w:name="_Toc484097742"/>
      <w:bookmarkStart w:id="1422" w:name="_Toc484011668"/>
      <w:bookmarkStart w:id="1423" w:name="_Toc484011193"/>
      <w:bookmarkStart w:id="1424" w:name="_Toc484011071"/>
      <w:bookmarkStart w:id="1425" w:name="_Toc484010949"/>
      <w:bookmarkStart w:id="1426" w:name="_Toc484010825"/>
      <w:bookmarkStart w:id="1427" w:name="_Toc484010703"/>
      <w:bookmarkStart w:id="1428" w:name="_Toc483906953"/>
      <w:bookmarkStart w:id="1429" w:name="_Toc483571576"/>
      <w:bookmarkStart w:id="1430" w:name="_Toc483571455"/>
      <w:bookmarkStart w:id="1431" w:name="_Toc483474026"/>
      <w:bookmarkStart w:id="1432" w:name="_Toc483401229"/>
      <w:bookmarkStart w:id="1433" w:name="_Toc483325750"/>
      <w:bookmarkStart w:id="1434" w:name="_Toc483316447"/>
      <w:bookmarkStart w:id="1435" w:name="_Toc483316316"/>
      <w:bookmarkStart w:id="1436" w:name="_Toc483316113"/>
      <w:bookmarkStart w:id="1437" w:name="_Toc483315908"/>
      <w:bookmarkStart w:id="1438" w:name="_Toc483302358"/>
      <w:bookmarkStart w:id="1439" w:name="_Toc485218283"/>
      <w:bookmarkStart w:id="1440" w:name="_Toc484688847"/>
      <w:bookmarkStart w:id="1441" w:name="_Toc484688292"/>
      <w:bookmarkStart w:id="1442" w:name="_Toc484605423"/>
      <w:bookmarkStart w:id="1443" w:name="_Toc484605299"/>
      <w:bookmarkStart w:id="1444" w:name="_Toc484526579"/>
      <w:bookmarkStart w:id="1445" w:name="_Toc484449084"/>
      <w:bookmarkStart w:id="1446" w:name="_Toc484448960"/>
      <w:bookmarkStart w:id="1447" w:name="_Toc484448836"/>
      <w:bookmarkStart w:id="1448" w:name="_Toc484448713"/>
      <w:bookmarkStart w:id="1449" w:name="_Toc484448589"/>
      <w:bookmarkStart w:id="1450" w:name="_Toc484448465"/>
      <w:bookmarkStart w:id="1451" w:name="_Toc484448341"/>
      <w:bookmarkStart w:id="1452" w:name="_Toc484448217"/>
      <w:bookmarkStart w:id="1453" w:name="_Toc484448092"/>
      <w:bookmarkStart w:id="1454" w:name="_Toc484440433"/>
      <w:bookmarkStart w:id="1455" w:name="_Toc484440073"/>
      <w:bookmarkStart w:id="1456" w:name="_Toc484439949"/>
      <w:bookmarkStart w:id="1457" w:name="_Toc484439826"/>
      <w:bookmarkStart w:id="1458" w:name="_Toc484438906"/>
      <w:bookmarkStart w:id="1459" w:name="_Toc484438782"/>
      <w:bookmarkStart w:id="1460" w:name="_Toc484438658"/>
      <w:bookmarkStart w:id="1461" w:name="_Toc484429083"/>
      <w:bookmarkStart w:id="1462" w:name="_Toc484428913"/>
      <w:bookmarkStart w:id="1463" w:name="_Toc484097741"/>
      <w:bookmarkStart w:id="1464" w:name="_Toc484011667"/>
      <w:bookmarkStart w:id="1465" w:name="_Toc484011192"/>
      <w:bookmarkStart w:id="1466" w:name="_Toc484011070"/>
      <w:bookmarkStart w:id="1467" w:name="_Toc484010948"/>
      <w:bookmarkStart w:id="1468" w:name="_Toc484010824"/>
      <w:bookmarkStart w:id="1469" w:name="_Toc484010702"/>
      <w:bookmarkStart w:id="1470" w:name="_Toc483906952"/>
      <w:bookmarkStart w:id="1471" w:name="_Toc483571575"/>
      <w:bookmarkStart w:id="1472" w:name="_Toc483571454"/>
      <w:bookmarkStart w:id="1473" w:name="_Toc483474025"/>
      <w:bookmarkStart w:id="1474" w:name="_Toc483401228"/>
      <w:bookmarkStart w:id="1475" w:name="_Toc483325749"/>
      <w:bookmarkStart w:id="1476" w:name="_Toc483316446"/>
      <w:bookmarkStart w:id="1477" w:name="_Toc483316315"/>
      <w:bookmarkStart w:id="1478" w:name="_Toc483316112"/>
      <w:bookmarkStart w:id="1479" w:name="_Toc483315907"/>
      <w:bookmarkStart w:id="1480" w:name="_Toc483302357"/>
      <w:bookmarkStart w:id="1481" w:name="_Toc485218282"/>
      <w:bookmarkStart w:id="1482" w:name="_Toc484688846"/>
      <w:bookmarkStart w:id="1483" w:name="_Toc484688291"/>
      <w:bookmarkStart w:id="1484" w:name="_Toc484605422"/>
      <w:bookmarkStart w:id="1485" w:name="_Toc484605298"/>
      <w:bookmarkStart w:id="1486" w:name="_Toc484526578"/>
      <w:bookmarkStart w:id="1487" w:name="_Toc484449083"/>
      <w:bookmarkStart w:id="1488" w:name="_Toc484448959"/>
      <w:bookmarkStart w:id="1489" w:name="_Toc484448835"/>
      <w:bookmarkStart w:id="1490" w:name="_Toc484448712"/>
      <w:bookmarkStart w:id="1491" w:name="_Toc484448588"/>
      <w:bookmarkStart w:id="1492" w:name="_Toc484448464"/>
      <w:bookmarkStart w:id="1493" w:name="_Toc484448340"/>
      <w:bookmarkStart w:id="1494" w:name="_Toc484448216"/>
      <w:bookmarkStart w:id="1495" w:name="_Toc484448091"/>
      <w:bookmarkStart w:id="1496" w:name="_Toc484440432"/>
      <w:bookmarkStart w:id="1497" w:name="_Toc484440072"/>
      <w:bookmarkStart w:id="1498" w:name="_Toc484439948"/>
      <w:bookmarkStart w:id="1499" w:name="_Toc484439825"/>
      <w:bookmarkStart w:id="1500" w:name="_Toc484438905"/>
      <w:bookmarkStart w:id="1501" w:name="_Toc484438781"/>
      <w:bookmarkStart w:id="1502" w:name="_Toc484438657"/>
      <w:bookmarkStart w:id="1503" w:name="_Toc484429082"/>
      <w:bookmarkStart w:id="1504" w:name="_Toc484428912"/>
      <w:bookmarkStart w:id="1505" w:name="_Toc484097740"/>
      <w:bookmarkStart w:id="1506" w:name="_Toc484011666"/>
      <w:bookmarkStart w:id="1507" w:name="_Toc484011191"/>
      <w:bookmarkStart w:id="1508" w:name="_Toc484011069"/>
      <w:bookmarkStart w:id="1509" w:name="_Toc484010947"/>
      <w:bookmarkStart w:id="1510" w:name="_Toc484010823"/>
      <w:bookmarkStart w:id="1511" w:name="_Toc484010701"/>
      <w:bookmarkStart w:id="1512" w:name="_Toc483906951"/>
      <w:bookmarkStart w:id="1513" w:name="_Toc483571574"/>
      <w:bookmarkStart w:id="1514" w:name="_Toc483571453"/>
      <w:bookmarkStart w:id="1515" w:name="_Toc483474024"/>
      <w:bookmarkStart w:id="1516" w:name="_Toc483401227"/>
      <w:bookmarkStart w:id="1517" w:name="_Toc483325748"/>
      <w:bookmarkStart w:id="1518" w:name="_Toc483316445"/>
      <w:bookmarkStart w:id="1519" w:name="_Toc483316314"/>
      <w:bookmarkStart w:id="1520" w:name="_Toc483316111"/>
      <w:bookmarkStart w:id="1521" w:name="_Toc483315906"/>
      <w:bookmarkStart w:id="1522" w:name="_Toc483302356"/>
      <w:bookmarkStart w:id="1523" w:name="_Toc485218281"/>
      <w:bookmarkStart w:id="1524" w:name="_Toc484688845"/>
      <w:bookmarkStart w:id="1525" w:name="_Toc484688290"/>
      <w:bookmarkStart w:id="1526" w:name="_Toc484605421"/>
      <w:bookmarkStart w:id="1527" w:name="_Toc484605297"/>
      <w:bookmarkStart w:id="1528" w:name="_Toc484526577"/>
      <w:bookmarkStart w:id="1529" w:name="_Toc484449082"/>
      <w:bookmarkStart w:id="1530" w:name="_Toc484448958"/>
      <w:bookmarkStart w:id="1531" w:name="_Toc484448834"/>
      <w:bookmarkStart w:id="1532" w:name="_Toc484448711"/>
      <w:bookmarkStart w:id="1533" w:name="_Toc484448587"/>
      <w:bookmarkStart w:id="1534" w:name="_Toc484448463"/>
      <w:bookmarkStart w:id="1535" w:name="_Toc484448339"/>
      <w:bookmarkStart w:id="1536" w:name="_Toc484448215"/>
      <w:bookmarkStart w:id="1537" w:name="_Toc484448090"/>
      <w:bookmarkStart w:id="1538" w:name="_Toc484440431"/>
      <w:bookmarkStart w:id="1539" w:name="_Toc484440071"/>
      <w:bookmarkStart w:id="1540" w:name="_Toc484439947"/>
      <w:bookmarkStart w:id="1541" w:name="_Toc484439824"/>
      <w:bookmarkStart w:id="1542" w:name="_Toc484438904"/>
      <w:bookmarkStart w:id="1543" w:name="_Toc484438780"/>
      <w:bookmarkStart w:id="1544" w:name="_Toc484438656"/>
      <w:bookmarkStart w:id="1545" w:name="_Toc484429081"/>
      <w:bookmarkStart w:id="1546" w:name="_Toc484428911"/>
      <w:bookmarkStart w:id="1547" w:name="_Toc484097739"/>
      <w:bookmarkStart w:id="1548" w:name="_Toc484011665"/>
      <w:bookmarkStart w:id="1549" w:name="_Toc484011190"/>
      <w:bookmarkStart w:id="1550" w:name="_Toc484011068"/>
      <w:bookmarkStart w:id="1551" w:name="_Toc484010946"/>
      <w:bookmarkStart w:id="1552" w:name="_Toc484010822"/>
      <w:bookmarkStart w:id="1553" w:name="_Toc484010700"/>
      <w:bookmarkStart w:id="1554" w:name="_Toc483906950"/>
      <w:bookmarkStart w:id="1555" w:name="_Toc483571573"/>
      <w:bookmarkStart w:id="1556" w:name="_Toc483571452"/>
      <w:bookmarkStart w:id="1557" w:name="_Toc483474023"/>
      <w:bookmarkStart w:id="1558" w:name="_Toc483401226"/>
      <w:bookmarkStart w:id="1559" w:name="_Toc483325747"/>
      <w:bookmarkStart w:id="1560" w:name="_Toc483316444"/>
      <w:bookmarkStart w:id="1561" w:name="_Toc483316313"/>
      <w:bookmarkStart w:id="1562" w:name="_Toc483316110"/>
      <w:bookmarkStart w:id="1563" w:name="_Toc483315905"/>
      <w:bookmarkStart w:id="1564" w:name="_Toc483302355"/>
      <w:bookmarkStart w:id="1565" w:name="_Toc498419741"/>
      <w:bookmarkStart w:id="1566" w:name="_Toc497831543"/>
      <w:bookmarkStart w:id="1567" w:name="_Toc497728148"/>
      <w:bookmarkStart w:id="1568" w:name="_Toc497484950"/>
      <w:bookmarkStart w:id="1569" w:name="_Toc498419740"/>
      <w:bookmarkStart w:id="1570" w:name="_Toc498419739"/>
      <w:bookmarkStart w:id="1571" w:name="_Toc498419738"/>
      <w:bookmarkStart w:id="1572" w:name="_Toc498419737"/>
      <w:bookmarkStart w:id="1573" w:name="_Toc498419736"/>
      <w:bookmarkStart w:id="1574" w:name="_Toc498419735"/>
      <w:bookmarkStart w:id="1575" w:name="_Toc498419742"/>
      <w:bookmarkStart w:id="1576" w:name="_Toc497831544"/>
      <w:bookmarkStart w:id="1577" w:name="_Toc139549427"/>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r w:rsidRPr="006E2EA6">
        <w:rPr>
          <w:rFonts w:ascii="Titillium" w:hAnsi="Titillium"/>
          <w:b/>
          <w:bCs/>
          <w:sz w:val="18"/>
          <w:szCs w:val="18"/>
        </w:rPr>
        <w:t xml:space="preserve">INDICAZIONI SUI REQUISITI SPECIALI NEI RAGGRUPPAMENTI TEMPORANEI, CONSORZI ORDINARI, AGGREGAZIONI DI </w:t>
      </w:r>
      <w:r w:rsidRPr="000B02C0">
        <w:rPr>
          <w:rFonts w:ascii="Titillium" w:hAnsi="Titillium"/>
          <w:b/>
          <w:bCs/>
          <w:sz w:val="18"/>
          <w:szCs w:val="18"/>
        </w:rPr>
        <w:t>IMPRESE DI RETE, GEIE</w:t>
      </w:r>
      <w:bookmarkEnd w:id="1577"/>
    </w:p>
    <w:p w14:paraId="595638AE" w14:textId="77777777" w:rsidR="00062C72" w:rsidRPr="00AF481C" w:rsidRDefault="00062C72" w:rsidP="00062C72">
      <w:pPr>
        <w:spacing w:before="60" w:after="60"/>
        <w:rPr>
          <w:rFonts w:ascii="Titillium" w:hAnsi="Titillium" w:cs="Calibri"/>
          <w:sz w:val="18"/>
          <w:szCs w:val="18"/>
        </w:rPr>
      </w:pPr>
      <w:r w:rsidRPr="000B02C0">
        <w:rPr>
          <w:rFonts w:ascii="Titillium" w:hAnsi="Titillium" w:cs="Calibri"/>
          <w:sz w:val="18"/>
          <w:szCs w:val="18"/>
        </w:rPr>
        <w:t>I soggetti di cui all’articolo 65, comma 2, lettera e), f) g) e h) del Codice devono</w:t>
      </w:r>
      <w:r w:rsidRPr="00AF481C">
        <w:rPr>
          <w:rFonts w:ascii="Titillium" w:hAnsi="Titillium" w:cs="Calibri"/>
          <w:sz w:val="18"/>
          <w:szCs w:val="18"/>
        </w:rPr>
        <w:t xml:space="preserve"> possedere i requisiti di ordine speciale nei termini di seguito indicati. </w:t>
      </w:r>
    </w:p>
    <w:p w14:paraId="5BC95921" w14:textId="77777777" w:rsidR="00062C72" w:rsidRPr="00F95D8D" w:rsidRDefault="00062C72" w:rsidP="00062C72">
      <w:pPr>
        <w:spacing w:before="60" w:after="60"/>
        <w:rPr>
          <w:rFonts w:ascii="Titillium" w:hAnsi="Titillium" w:cs="Calibri"/>
          <w:sz w:val="18"/>
          <w:szCs w:val="18"/>
        </w:rPr>
      </w:pPr>
      <w:r w:rsidRPr="00AF481C">
        <w:rPr>
          <w:rFonts w:ascii="Titillium" w:hAnsi="Titillium" w:cs="Calibri"/>
          <w:sz w:val="18"/>
          <w:szCs w:val="18"/>
        </w:rPr>
        <w:t xml:space="preserve">Alle aggregazioni di retisti, ai consorzi ordinari ed </w:t>
      </w:r>
      <w:r w:rsidRPr="00F95D8D">
        <w:rPr>
          <w:rFonts w:ascii="Titillium" w:hAnsi="Titillium" w:cs="Calibri"/>
          <w:sz w:val="18"/>
          <w:szCs w:val="18"/>
        </w:rPr>
        <w:t xml:space="preserve">ai GEIE si applica la disciplina prevista per i raggruppamenti temporanei. </w:t>
      </w:r>
    </w:p>
    <w:p w14:paraId="364037C8" w14:textId="77777777" w:rsidR="00062C72" w:rsidRPr="00AF481C" w:rsidRDefault="00062C72" w:rsidP="00062C72">
      <w:pPr>
        <w:spacing w:before="60" w:after="60"/>
        <w:rPr>
          <w:rFonts w:ascii="Titillium" w:hAnsi="Titillium"/>
          <w:b/>
          <w:iCs/>
          <w:sz w:val="18"/>
          <w:szCs w:val="18"/>
        </w:rPr>
      </w:pPr>
      <w:r w:rsidRPr="00AF481C">
        <w:rPr>
          <w:rFonts w:ascii="Titillium" w:hAnsi="Titillium"/>
          <w:b/>
          <w:iCs/>
          <w:sz w:val="18"/>
          <w:szCs w:val="18"/>
        </w:rPr>
        <w:t>Requisiti di idoneità professionale</w:t>
      </w:r>
    </w:p>
    <w:p w14:paraId="05DBF7D6" w14:textId="77777777" w:rsidR="009B7051" w:rsidRPr="006E2EA6" w:rsidRDefault="009B7051" w:rsidP="009B7051">
      <w:pPr>
        <w:spacing w:before="60" w:after="60"/>
        <w:rPr>
          <w:rFonts w:eastAsia="Calibri"/>
          <w:lang w:eastAsia="it-IT"/>
        </w:rPr>
      </w:pPr>
      <w:r w:rsidRPr="009C1B07">
        <w:rPr>
          <w:rFonts w:ascii="Titillium" w:hAnsi="Titillium" w:cs="Calibri"/>
          <w:sz w:val="18"/>
          <w:szCs w:val="18"/>
        </w:rPr>
        <w:t xml:space="preserve">Il requisito relativo all’iscrizione nel Registro delle Imprese oppure nell’Albo delle Imprese artigiane oppure al C.O.N.I, oppure ad una Federazione Sportiva Nazionale o ad Ente di Promozione Sportiva operante a livello nazionale nonché al Registro </w:t>
      </w:r>
      <w:r w:rsidRPr="009C1B07">
        <w:rPr>
          <w:rFonts w:ascii="Titillium" w:hAnsi="Titillium" w:cs="Calibri"/>
          <w:sz w:val="18"/>
          <w:szCs w:val="18"/>
        </w:rPr>
        <w:lastRenderedPageBreak/>
        <w:t xml:space="preserve">Nazionale delle Associazioni e Società Sportive Dilettantistiche (qualora l’iscrizione sia dovuta per l’esercizio dell’attività in base alla fattispecie giuridica di ogni singolo soggetto) </w:t>
      </w:r>
      <w:r w:rsidRPr="006E2EA6">
        <w:rPr>
          <w:rFonts w:ascii="Titillium" w:hAnsi="Titillium" w:cs="Calibri"/>
          <w:sz w:val="18"/>
          <w:szCs w:val="18"/>
        </w:rPr>
        <w:t xml:space="preserve">di cui di cui al </w:t>
      </w:r>
      <w:r>
        <w:rPr>
          <w:rFonts w:ascii="Titillium" w:hAnsi="Titillium" w:cs="Calibri"/>
          <w:sz w:val="18"/>
          <w:szCs w:val="18"/>
        </w:rPr>
        <w:t xml:space="preserve">precedente </w:t>
      </w:r>
      <w:r w:rsidRPr="008105FB">
        <w:rPr>
          <w:rFonts w:ascii="Titillium" w:hAnsi="Titillium" w:cs="Calibri"/>
          <w:b/>
          <w:bCs/>
          <w:sz w:val="18"/>
          <w:szCs w:val="18"/>
        </w:rPr>
        <w:t>punto 6.1</w:t>
      </w:r>
      <w:r>
        <w:rPr>
          <w:rFonts w:ascii="Titillium" w:hAnsi="Titillium" w:cs="Calibri"/>
          <w:sz w:val="18"/>
          <w:szCs w:val="18"/>
        </w:rPr>
        <w:t>, de</w:t>
      </w:r>
      <w:r w:rsidRPr="006E2EA6">
        <w:rPr>
          <w:rFonts w:ascii="Titillium" w:hAnsi="Titillium" w:cs="Calibri"/>
          <w:sz w:val="18"/>
          <w:szCs w:val="18"/>
        </w:rPr>
        <w:t>ve essere posseduto</w:t>
      </w:r>
      <w:r w:rsidRPr="006E2EA6">
        <w:rPr>
          <w:rFonts w:ascii="Titillium" w:eastAsia="Calibri" w:hAnsi="Titillium" w:cs="Calibri"/>
          <w:sz w:val="18"/>
          <w:szCs w:val="18"/>
          <w:lang w:eastAsia="it-IT"/>
        </w:rPr>
        <w:t>:</w:t>
      </w:r>
    </w:p>
    <w:p w14:paraId="62BF702E" w14:textId="77777777" w:rsidR="009B7051" w:rsidRPr="006E2EA6" w:rsidRDefault="009B7051" w:rsidP="009B7051">
      <w:pPr>
        <w:numPr>
          <w:ilvl w:val="0"/>
          <w:numId w:val="27"/>
        </w:numPr>
        <w:spacing w:before="60" w:after="60"/>
        <w:ind w:left="426"/>
        <w:rPr>
          <w:rFonts w:eastAsia="Calibri"/>
          <w:lang w:eastAsia="it-IT"/>
        </w:rPr>
      </w:pPr>
      <w:r w:rsidRPr="00F105D0">
        <w:rPr>
          <w:rFonts w:ascii="Titillium" w:eastAsia="Calibri" w:hAnsi="Titillium" w:cs="Calibri"/>
          <w:color w:val="EE0000"/>
          <w:sz w:val="18"/>
          <w:szCs w:val="18"/>
          <w:lang w:eastAsia="it-IT"/>
        </w:rPr>
        <w:t xml:space="preserve">da ciascun componente </w:t>
      </w:r>
      <w:r w:rsidRPr="006E2EA6">
        <w:rPr>
          <w:rFonts w:ascii="Titillium" w:eastAsia="Calibri" w:hAnsi="Titillium" w:cs="Calibri"/>
          <w:sz w:val="18"/>
          <w:szCs w:val="18"/>
          <w:lang w:eastAsia="it-IT"/>
        </w:rPr>
        <w:t>del raggruppamento/consorzio/GEIE anche da costituire, nonché dal GEIE medesimo;</w:t>
      </w:r>
    </w:p>
    <w:p w14:paraId="653F91B0" w14:textId="77777777" w:rsidR="009B7051" w:rsidRDefault="009B7051" w:rsidP="009B7051">
      <w:pPr>
        <w:numPr>
          <w:ilvl w:val="0"/>
          <w:numId w:val="27"/>
        </w:numPr>
        <w:spacing w:before="60" w:after="60"/>
        <w:ind w:left="426"/>
        <w:rPr>
          <w:rFonts w:ascii="Titillium" w:eastAsia="Calibri" w:hAnsi="Titillium" w:cs="Calibri"/>
          <w:sz w:val="18"/>
          <w:szCs w:val="18"/>
          <w:lang w:eastAsia="it-IT"/>
        </w:rPr>
      </w:pPr>
      <w:r w:rsidRPr="00F105D0">
        <w:rPr>
          <w:rFonts w:ascii="Titillium" w:eastAsia="Calibri" w:hAnsi="Titillium" w:cs="Calibri"/>
          <w:color w:val="EE0000"/>
          <w:sz w:val="18"/>
          <w:szCs w:val="18"/>
          <w:lang w:eastAsia="it-IT"/>
        </w:rPr>
        <w:t xml:space="preserve">da ciascun componente </w:t>
      </w:r>
      <w:r w:rsidRPr="006E2EA6">
        <w:rPr>
          <w:rFonts w:ascii="Titillium" w:eastAsia="Calibri" w:hAnsi="Titillium" w:cs="Calibri"/>
          <w:sz w:val="18"/>
          <w:szCs w:val="18"/>
          <w:lang w:eastAsia="it-IT"/>
        </w:rPr>
        <w:t>dell’aggregazione di rete nonché dall’organo comune nel caso in cui questi abbia soggettività giuridica.</w:t>
      </w:r>
    </w:p>
    <w:p w14:paraId="73688483" w14:textId="2776EA70" w:rsidR="006E2EA6" w:rsidRPr="008229E6" w:rsidRDefault="006E2EA6" w:rsidP="006E2EA6">
      <w:pPr>
        <w:spacing w:before="60" w:after="60"/>
        <w:rPr>
          <w:rFonts w:ascii="Titillium" w:hAnsi="Titillium" w:cs="Calibri"/>
          <w:b/>
          <w:iCs/>
          <w:sz w:val="18"/>
          <w:szCs w:val="18"/>
        </w:rPr>
      </w:pPr>
      <w:r w:rsidRPr="008229E6">
        <w:rPr>
          <w:rFonts w:ascii="Titillium" w:hAnsi="Titillium" w:cs="Calibri"/>
          <w:b/>
          <w:iCs/>
          <w:sz w:val="18"/>
          <w:szCs w:val="18"/>
        </w:rPr>
        <w:t>Requisiti di capacità tecnico-professionale</w:t>
      </w:r>
    </w:p>
    <w:p w14:paraId="302327DF" w14:textId="1266596D" w:rsidR="00237E33" w:rsidRPr="008229E6" w:rsidRDefault="00237E33" w:rsidP="00FC3935">
      <w:pPr>
        <w:spacing w:before="60" w:after="60"/>
        <w:rPr>
          <w:rFonts w:ascii="Titillium" w:hAnsi="Titillium" w:cs="Calibri"/>
          <w:sz w:val="18"/>
          <w:szCs w:val="18"/>
        </w:rPr>
      </w:pPr>
      <w:r w:rsidRPr="008229E6">
        <w:rPr>
          <w:rFonts w:ascii="Titillium" w:hAnsi="Titillium" w:cs="Calibri"/>
          <w:sz w:val="18"/>
          <w:szCs w:val="18"/>
        </w:rPr>
        <w:t xml:space="preserve">Il requisito dei servizi analoghi di cui al precedente </w:t>
      </w:r>
      <w:r w:rsidRPr="003C347C">
        <w:rPr>
          <w:rFonts w:ascii="Titillium" w:hAnsi="Titillium" w:cs="Calibri"/>
          <w:b/>
          <w:bCs/>
          <w:sz w:val="18"/>
          <w:szCs w:val="18"/>
        </w:rPr>
        <w:t xml:space="preserve">punto </w:t>
      </w:r>
      <w:r w:rsidRPr="003C347C">
        <w:rPr>
          <w:rFonts w:ascii="Titillium" w:hAnsi="Titillium" w:cs="Calibri"/>
          <w:b/>
          <w:bCs/>
          <w:sz w:val="18"/>
          <w:szCs w:val="18"/>
        </w:rPr>
        <w:fldChar w:fldCharType="begin"/>
      </w:r>
      <w:r w:rsidRPr="003C347C">
        <w:rPr>
          <w:rFonts w:ascii="Titillium" w:hAnsi="Titillium" w:cs="Calibri"/>
          <w:b/>
          <w:bCs/>
          <w:sz w:val="18"/>
          <w:szCs w:val="18"/>
        </w:rPr>
        <w:instrText xml:space="preserve"> REF _Ref495506173 \r \h  \* MERGEFORMAT </w:instrText>
      </w:r>
      <w:r w:rsidRPr="003C347C">
        <w:rPr>
          <w:rFonts w:ascii="Titillium" w:hAnsi="Titillium" w:cs="Calibri"/>
          <w:b/>
          <w:bCs/>
          <w:sz w:val="18"/>
          <w:szCs w:val="18"/>
        </w:rPr>
      </w:r>
      <w:r w:rsidRPr="003C347C">
        <w:rPr>
          <w:rFonts w:ascii="Titillium" w:hAnsi="Titillium" w:cs="Calibri"/>
          <w:b/>
          <w:bCs/>
          <w:sz w:val="18"/>
          <w:szCs w:val="18"/>
        </w:rPr>
        <w:fldChar w:fldCharType="separate"/>
      </w:r>
      <w:r w:rsidR="005735E2" w:rsidRPr="003C347C">
        <w:rPr>
          <w:rFonts w:ascii="Titillium" w:hAnsi="Titillium" w:cs="Calibri"/>
          <w:b/>
          <w:bCs/>
          <w:sz w:val="18"/>
          <w:szCs w:val="18"/>
        </w:rPr>
        <w:t>6.3</w:t>
      </w:r>
      <w:r w:rsidRPr="003C347C">
        <w:rPr>
          <w:rFonts w:ascii="Titillium" w:hAnsi="Titillium" w:cs="Calibri"/>
          <w:b/>
          <w:bCs/>
          <w:sz w:val="18"/>
          <w:szCs w:val="18"/>
        </w:rPr>
        <w:fldChar w:fldCharType="end"/>
      </w:r>
      <w:r w:rsidRPr="008229E6">
        <w:rPr>
          <w:rFonts w:ascii="Titillium" w:hAnsi="Titillium" w:cs="Calibri"/>
          <w:sz w:val="18"/>
          <w:szCs w:val="18"/>
        </w:rPr>
        <w:t xml:space="preserve"> deve essere posseduto dal raggruppamento nel complesso, senza necessità che una quota minima sia posseduta dal singolo </w:t>
      </w:r>
      <w:r w:rsidR="00FE5267">
        <w:rPr>
          <w:rFonts w:ascii="Titillium" w:hAnsi="Titillium" w:cs="Calibri"/>
          <w:sz w:val="18"/>
          <w:szCs w:val="18"/>
        </w:rPr>
        <w:t>componente del raggruppamento</w:t>
      </w:r>
      <w:r w:rsidRPr="008229E6">
        <w:rPr>
          <w:rFonts w:ascii="Titillium" w:hAnsi="Titillium" w:cs="Calibri"/>
          <w:sz w:val="18"/>
          <w:szCs w:val="18"/>
        </w:rPr>
        <w:t>.</w:t>
      </w:r>
    </w:p>
    <w:p w14:paraId="4FBD5699" w14:textId="77777777" w:rsidR="00237E33" w:rsidRPr="00237E33" w:rsidRDefault="00237E33" w:rsidP="00237E33">
      <w:pPr>
        <w:spacing w:before="60" w:after="60"/>
        <w:rPr>
          <w:rFonts w:ascii="Titillium" w:hAnsi="Titillium" w:cs="Calibri"/>
          <w:sz w:val="18"/>
          <w:szCs w:val="18"/>
        </w:rPr>
      </w:pPr>
      <w:r w:rsidRPr="008229E6">
        <w:rPr>
          <w:rFonts w:ascii="Titillium" w:hAnsi="Titillium" w:cs="Calibri"/>
          <w:sz w:val="18"/>
          <w:szCs w:val="18"/>
        </w:rPr>
        <w:t>Nel caso in cui un raggruppamento abbia estromesso o sostituito un partecipante allo stesso poiché privo di un requisito di ordine speciale di cui all’articolo 100 del Codice, si valutano le misure adottate ai sensi dell’articolo 97 del Codice al fine di decidere sull’esclusione del raggruppamento.</w:t>
      </w:r>
      <w:r w:rsidRPr="00237E33">
        <w:rPr>
          <w:rFonts w:ascii="Titillium" w:hAnsi="Titillium" w:cs="Calibri"/>
          <w:sz w:val="18"/>
          <w:szCs w:val="18"/>
        </w:rPr>
        <w:t xml:space="preserve"> </w:t>
      </w:r>
    </w:p>
    <w:p w14:paraId="78ADD080" w14:textId="77777777" w:rsidR="006E2EA6" w:rsidRPr="006E2EA6" w:rsidRDefault="006E2EA6" w:rsidP="006E2EA6">
      <w:pPr>
        <w:keepNext/>
        <w:numPr>
          <w:ilvl w:val="1"/>
          <w:numId w:val="3"/>
        </w:numPr>
        <w:spacing w:before="240" w:after="60"/>
        <w:ind w:left="426" w:hanging="426"/>
        <w:outlineLvl w:val="2"/>
        <w:rPr>
          <w:rFonts w:ascii="Titillium" w:hAnsi="Titillium"/>
          <w:b/>
          <w:bCs/>
          <w:sz w:val="18"/>
          <w:szCs w:val="18"/>
        </w:rPr>
      </w:pPr>
      <w:bookmarkStart w:id="1578" w:name="_Toc497728151"/>
      <w:bookmarkStart w:id="1579" w:name="_Toc497484953"/>
      <w:bookmarkStart w:id="1580" w:name="_Toc494359032"/>
      <w:bookmarkStart w:id="1581" w:name="_Toc494358983"/>
      <w:bookmarkStart w:id="1582" w:name="_Toc498419744"/>
      <w:bookmarkStart w:id="1583" w:name="_Toc497831546"/>
      <w:bookmarkStart w:id="1584" w:name="_Toc139549428"/>
      <w:bookmarkEnd w:id="1578"/>
      <w:bookmarkEnd w:id="1579"/>
      <w:bookmarkEnd w:id="1580"/>
      <w:bookmarkEnd w:id="1581"/>
      <w:bookmarkEnd w:id="1582"/>
      <w:bookmarkEnd w:id="1583"/>
      <w:r w:rsidRPr="006E2EA6">
        <w:rPr>
          <w:rFonts w:ascii="Titillium" w:hAnsi="Titillium"/>
          <w:b/>
          <w:bCs/>
          <w:sz w:val="18"/>
          <w:szCs w:val="18"/>
        </w:rPr>
        <w:t>INDICAZIONI SUI REQUISITI SPECIALI NEI CONSORZI DI COOPERATIVE, CONSORZI DI IMPRESE ARTIGIANE, CONSORZI STABILI</w:t>
      </w:r>
      <w:bookmarkEnd w:id="1584"/>
      <w:r w:rsidRPr="006E2EA6">
        <w:rPr>
          <w:rFonts w:ascii="Titillium" w:hAnsi="Titillium"/>
          <w:b/>
          <w:bCs/>
          <w:sz w:val="18"/>
          <w:szCs w:val="18"/>
        </w:rPr>
        <w:t xml:space="preserve"> </w:t>
      </w:r>
    </w:p>
    <w:p w14:paraId="3F24A9B9" w14:textId="77777777" w:rsidR="006E2EA6" w:rsidRPr="006E2EA6" w:rsidRDefault="006E2EA6" w:rsidP="006E2EA6">
      <w:pPr>
        <w:spacing w:before="60" w:after="60"/>
        <w:rPr>
          <w:rFonts w:ascii="Titillium" w:hAnsi="Titillium"/>
          <w:b/>
          <w:iCs/>
          <w:sz w:val="18"/>
          <w:szCs w:val="18"/>
        </w:rPr>
      </w:pPr>
      <w:r w:rsidRPr="006E2EA6">
        <w:rPr>
          <w:rFonts w:ascii="Titillium" w:hAnsi="Titillium"/>
          <w:b/>
          <w:iCs/>
          <w:sz w:val="18"/>
          <w:szCs w:val="18"/>
        </w:rPr>
        <w:t>Requisiti di idoneità professionale</w:t>
      </w:r>
    </w:p>
    <w:p w14:paraId="6818E066" w14:textId="77777777" w:rsidR="00D97161" w:rsidRDefault="00D97161" w:rsidP="00D97161">
      <w:pPr>
        <w:spacing w:before="60" w:after="60"/>
        <w:rPr>
          <w:rFonts w:ascii="Titillium" w:eastAsia="Calibri" w:hAnsi="Titillium" w:cs="Calibri"/>
          <w:sz w:val="18"/>
          <w:szCs w:val="18"/>
          <w:lang w:eastAsia="it-IT"/>
        </w:rPr>
      </w:pPr>
      <w:r w:rsidRPr="0075112F">
        <w:rPr>
          <w:rFonts w:ascii="Titillium" w:hAnsi="Titillium" w:cs="Calibri"/>
          <w:sz w:val="18"/>
          <w:szCs w:val="18"/>
        </w:rPr>
        <w:t xml:space="preserve">Il requisito relativo all’iscrizione nel Registro delle Imprese oppure nell’Albo delle Imprese artigiane oppure al C.O.N.I, oppure ad una Federazione Sportiva Nazionale o ad Ente di Promozione Sportiva operante a livello nazionale nonché al Registro Nazionale delle Associazioni e Società Sportive Dilettantistiche (qualora l’iscrizione sia dovuta per l’esercizio dell’attività in base alla fattispecie giuridica di ogni singolo soggetto) di cui al precedente </w:t>
      </w:r>
      <w:r w:rsidRPr="0075112F">
        <w:rPr>
          <w:rFonts w:ascii="Titillium" w:hAnsi="Titillium" w:cs="Calibri"/>
          <w:b/>
          <w:bCs/>
          <w:sz w:val="18"/>
          <w:szCs w:val="18"/>
        </w:rPr>
        <w:t>punto 6.1</w:t>
      </w:r>
      <w:r w:rsidRPr="0075112F">
        <w:rPr>
          <w:rFonts w:ascii="Titillium" w:hAnsi="Titillium" w:cs="Calibri"/>
          <w:sz w:val="18"/>
          <w:szCs w:val="18"/>
        </w:rPr>
        <w:t xml:space="preserve"> essere posseduto </w:t>
      </w:r>
      <w:r w:rsidRPr="0075112F">
        <w:rPr>
          <w:rFonts w:ascii="Titillium" w:eastAsia="Calibri" w:hAnsi="Titillium" w:cs="Calibri"/>
          <w:sz w:val="18"/>
          <w:szCs w:val="18"/>
          <w:lang w:eastAsia="it-IT"/>
        </w:rPr>
        <w:t>dal consorzio e dai consorziati indicati come esecutori.</w:t>
      </w:r>
    </w:p>
    <w:p w14:paraId="49F4EC47" w14:textId="0B9719E7" w:rsidR="006E2EA6" w:rsidRPr="006E2EA6" w:rsidRDefault="006E2EA6" w:rsidP="006E2EA6">
      <w:pPr>
        <w:spacing w:before="60" w:after="60"/>
        <w:rPr>
          <w:rFonts w:ascii="Titillium" w:hAnsi="Titillium"/>
          <w:b/>
          <w:iCs/>
          <w:sz w:val="18"/>
          <w:szCs w:val="18"/>
        </w:rPr>
      </w:pPr>
      <w:r w:rsidRPr="006E2EA6">
        <w:rPr>
          <w:rFonts w:ascii="Titillium" w:hAnsi="Titillium"/>
          <w:b/>
          <w:iCs/>
          <w:sz w:val="18"/>
          <w:szCs w:val="18"/>
        </w:rPr>
        <w:t>Requisiti di capacità tecnico-professionale</w:t>
      </w:r>
    </w:p>
    <w:p w14:paraId="652C9FE3" w14:textId="28889784" w:rsidR="006E2EA6" w:rsidRPr="006E2EA6" w:rsidRDefault="006E2EA6" w:rsidP="006E2EA6">
      <w:pPr>
        <w:spacing w:before="60" w:after="60"/>
        <w:rPr>
          <w:rFonts w:ascii="Titillium" w:hAnsi="Titillium" w:cs="Calibri"/>
          <w:sz w:val="18"/>
          <w:szCs w:val="18"/>
        </w:rPr>
      </w:pPr>
      <w:r w:rsidRPr="006E2EA6">
        <w:rPr>
          <w:rFonts w:ascii="Titillium" w:hAnsi="Titillium" w:cs="Calibri"/>
          <w:sz w:val="18"/>
          <w:szCs w:val="18"/>
        </w:rPr>
        <w:t xml:space="preserve">I consorzi di cui all’articolo 65, comma 2, lettera b) e c) del Codice, </w:t>
      </w:r>
      <w:r w:rsidR="00750355" w:rsidRPr="00750355">
        <w:rPr>
          <w:rFonts w:ascii="Titillium" w:hAnsi="Titillium" w:cs="Calibri"/>
          <w:sz w:val="18"/>
          <w:szCs w:val="18"/>
        </w:rPr>
        <w:t xml:space="preserve">al fine di dimostrare il requisito di cui al </w:t>
      </w:r>
      <w:r w:rsidR="00750355" w:rsidRPr="00750355">
        <w:rPr>
          <w:rFonts w:ascii="Titillium" w:hAnsi="Titillium" w:cs="Calibri"/>
          <w:b/>
          <w:bCs/>
          <w:sz w:val="18"/>
          <w:szCs w:val="18"/>
        </w:rPr>
        <w:t>punto 6.3</w:t>
      </w:r>
      <w:r w:rsidR="00750355" w:rsidRPr="00750355">
        <w:rPr>
          <w:rFonts w:ascii="Titillium" w:hAnsi="Titillium" w:cs="Calibri"/>
          <w:sz w:val="18"/>
          <w:szCs w:val="18"/>
        </w:rPr>
        <w:t xml:space="preserve">, </w:t>
      </w:r>
      <w:r w:rsidRPr="006E2EA6">
        <w:rPr>
          <w:rFonts w:ascii="Titillium" w:hAnsi="Titillium" w:cs="Calibri"/>
          <w:sz w:val="18"/>
          <w:szCs w:val="18"/>
        </w:rPr>
        <w:t xml:space="preserve">utilizzano i requisiti propri e, nel novero di questi, fanno valere i mezzi </w:t>
      </w:r>
      <w:r w:rsidR="000B6B38" w:rsidRPr="000B6B38">
        <w:rPr>
          <w:rFonts w:ascii="Titillium" w:hAnsi="Titillium" w:cs="Calibri"/>
          <w:sz w:val="18"/>
          <w:szCs w:val="18"/>
        </w:rPr>
        <w:t>d’opera, le attrezzature e l’organico medio nella disponibilità delle consorziate che li costituiscono</w:t>
      </w:r>
      <w:r w:rsidRPr="006E2EA6">
        <w:rPr>
          <w:rFonts w:ascii="Titillium" w:hAnsi="Titillium" w:cs="Calibri"/>
          <w:sz w:val="18"/>
          <w:szCs w:val="18"/>
        </w:rPr>
        <w:t>.</w:t>
      </w:r>
    </w:p>
    <w:p w14:paraId="7BFEAA97" w14:textId="32CCE5F1" w:rsidR="006E2EA6" w:rsidRPr="006E2EA6" w:rsidRDefault="006E2EA6" w:rsidP="006E2EA6">
      <w:pPr>
        <w:spacing w:before="60" w:after="60"/>
        <w:rPr>
          <w:rFonts w:ascii="Titillium" w:hAnsi="Titillium" w:cs="Calibri"/>
          <w:sz w:val="18"/>
          <w:szCs w:val="18"/>
        </w:rPr>
      </w:pPr>
      <w:r w:rsidRPr="006E2EA6">
        <w:rPr>
          <w:rFonts w:ascii="Titillium" w:hAnsi="Titillium" w:cs="Calibri"/>
          <w:sz w:val="18"/>
          <w:szCs w:val="18"/>
        </w:rPr>
        <w:t>Per i consorzi di cui all’articolo 65, comma 2, lett. d) del Codice, i requisiti di capacità tecnica sono computati cumulativamente in capo al consorzio ancorché posseduti dalle singole consorziate.</w:t>
      </w:r>
    </w:p>
    <w:p w14:paraId="73E36EF8" w14:textId="77777777" w:rsidR="006E2EA6" w:rsidRDefault="006E2EA6" w:rsidP="006E2EA6">
      <w:pPr>
        <w:spacing w:before="60" w:after="60"/>
        <w:rPr>
          <w:rFonts w:ascii="Titillium" w:hAnsi="Titillium"/>
          <w:sz w:val="18"/>
          <w:szCs w:val="24"/>
        </w:rPr>
      </w:pPr>
      <w:r w:rsidRPr="006E2EA6">
        <w:rPr>
          <w:rFonts w:ascii="Titillium" w:hAnsi="Titillium"/>
          <w:sz w:val="18"/>
          <w:szCs w:val="24"/>
        </w:rPr>
        <w:t>Nel caso in cui un consorzio abbia estromesso o sostituito una consorziata poiché priva di un requisito di ordine speciale di cui all’articolo 100 del Codice, si valutano le misure adottate ai sensi dell’articolo 97 del Codice al fine di decidere sull’esclusione.</w:t>
      </w:r>
    </w:p>
    <w:p w14:paraId="39140A1D" w14:textId="77777777" w:rsidR="00C73FF7" w:rsidRDefault="00C73FF7" w:rsidP="00C73FF7">
      <w:pPr>
        <w:pStyle w:val="Titolo2"/>
        <w:numPr>
          <w:ilvl w:val="0"/>
          <w:numId w:val="3"/>
        </w:numPr>
        <w:rPr>
          <w:rFonts w:ascii="Titillium" w:hAnsi="Titillium"/>
          <w:sz w:val="18"/>
          <w:szCs w:val="18"/>
        </w:rPr>
      </w:pPr>
      <w:bookmarkStart w:id="1585" w:name="_Toc406058375"/>
      <w:bookmarkStart w:id="1586" w:name="_Toc403471269"/>
      <w:bookmarkStart w:id="1587" w:name="_Toc397422862"/>
      <w:bookmarkStart w:id="1588" w:name="_Toc397346821"/>
      <w:bookmarkStart w:id="1589" w:name="_Toc393706906"/>
      <w:bookmarkStart w:id="1590" w:name="_Toc393700833"/>
      <w:bookmarkStart w:id="1591" w:name="_Toc393283174"/>
      <w:bookmarkStart w:id="1592" w:name="_Toc393272658"/>
      <w:bookmarkStart w:id="1593" w:name="_Toc393272600"/>
      <w:bookmarkStart w:id="1594" w:name="_Toc393187844"/>
      <w:bookmarkStart w:id="1595" w:name="_Toc393112127"/>
      <w:bookmarkStart w:id="1596" w:name="_Toc393110563"/>
      <w:bookmarkStart w:id="1597" w:name="_Toc392577496"/>
      <w:bookmarkStart w:id="1598" w:name="_Toc391036055"/>
      <w:bookmarkStart w:id="1599" w:name="_Toc391035982"/>
      <w:bookmarkStart w:id="1600" w:name="_Toc380501869"/>
      <w:bookmarkStart w:id="1601" w:name="_Toc354038180"/>
      <w:bookmarkStart w:id="1602" w:name="_Toc416423361"/>
      <w:bookmarkStart w:id="1603" w:name="_Toc406754176"/>
      <w:bookmarkStart w:id="1604" w:name="_Toc89270289"/>
      <w:r w:rsidRPr="00C73FF7">
        <w:rPr>
          <w:rFonts w:ascii="Titillium" w:hAnsi="Titillium"/>
          <w:sz w:val="18"/>
          <w:szCs w:val="18"/>
        </w:rPr>
        <w:t>AVVALIMENTO</w:t>
      </w:r>
    </w:p>
    <w:p w14:paraId="61B337F9" w14:textId="677354E1" w:rsidR="00FD1DB0" w:rsidRPr="00FD1DB0" w:rsidRDefault="00FD1DB0" w:rsidP="00FD1DB0">
      <w:pPr>
        <w:spacing w:before="60" w:after="60"/>
        <w:rPr>
          <w:rFonts w:ascii="Titillium" w:hAnsi="Titillium" w:cs="Calibri"/>
          <w:sz w:val="18"/>
          <w:szCs w:val="18"/>
        </w:rPr>
      </w:pPr>
      <w:r w:rsidRPr="00FD1DB0">
        <w:rPr>
          <w:rFonts w:ascii="Titillium" w:hAnsi="Titillium" w:cs="Calibri"/>
          <w:sz w:val="18"/>
          <w:szCs w:val="18"/>
        </w:rPr>
        <w:t xml:space="preserve">Trattandosi di affidamento di servizi </w:t>
      </w:r>
      <w:r w:rsidR="009F1D14" w:rsidRPr="009F1D14">
        <w:rPr>
          <w:rFonts w:ascii="Titillium" w:hAnsi="Titillium" w:cs="Calibri"/>
          <w:sz w:val="18"/>
          <w:szCs w:val="18"/>
        </w:rPr>
        <w:t>di cui all’allegato X alla direttiva 2014/24/UE del Parlamento europeo e del Consiglio del 26 febbraio 2014</w:t>
      </w:r>
      <w:r w:rsidR="00BC22A9">
        <w:rPr>
          <w:rFonts w:ascii="Titillium" w:hAnsi="Titillium" w:cs="Calibri"/>
          <w:sz w:val="18"/>
          <w:szCs w:val="18"/>
        </w:rPr>
        <w:t xml:space="preserve">, che ricade </w:t>
      </w:r>
      <w:r w:rsidRPr="00FD1DB0">
        <w:rPr>
          <w:rFonts w:ascii="Titillium" w:hAnsi="Titillium" w:cs="Calibri"/>
          <w:sz w:val="18"/>
          <w:szCs w:val="18"/>
        </w:rPr>
        <w:t>nell'ambito dei servizi sociali e assimilati, artt. 127 e seguenti del D.Lgs. 36/2023, l’avvalimento dei requisiti non si applica (TAR Emilia-Romagna, Bologna, sez. II, sentenza 12 dicembre 2025, n. 1564).</w:t>
      </w:r>
    </w:p>
    <w:p w14:paraId="6648DD5E" w14:textId="562A6396" w:rsidR="00D957CB" w:rsidRPr="00966E20" w:rsidRDefault="00870286" w:rsidP="00966E20">
      <w:pPr>
        <w:pStyle w:val="Titolo2"/>
        <w:numPr>
          <w:ilvl w:val="0"/>
          <w:numId w:val="3"/>
        </w:numPr>
        <w:ind w:left="357" w:hanging="357"/>
      </w:pPr>
      <w:r>
        <w:rPr>
          <w:rFonts w:ascii="Titillium" w:hAnsi="Titillium"/>
          <w:sz w:val="18"/>
          <w:szCs w:val="18"/>
        </w:rPr>
        <w:t>SUBAPPALTO</w:t>
      </w:r>
      <w:bookmarkStart w:id="1605" w:name="_Hlk106915728"/>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p>
    <w:p w14:paraId="3E4DD0D0" w14:textId="622DF481" w:rsidR="00437CB1" w:rsidRDefault="00437CB1" w:rsidP="00966E20">
      <w:pPr>
        <w:tabs>
          <w:tab w:val="left" w:pos="0"/>
        </w:tabs>
        <w:spacing w:before="60" w:after="60"/>
        <w:rPr>
          <w:rFonts w:ascii="Titillium" w:hAnsi="Titillium" w:cs="Calibri"/>
          <w:sz w:val="18"/>
          <w:szCs w:val="18"/>
        </w:rPr>
      </w:pPr>
      <w:r w:rsidRPr="00437CB1">
        <w:rPr>
          <w:rFonts w:ascii="Titillium" w:hAnsi="Titillium" w:cs="Calibri"/>
          <w:sz w:val="18"/>
          <w:szCs w:val="18"/>
        </w:rPr>
        <w:t>Il concorrente indica le prestazioni che intende subappaltare o concedere in cottimo. In caso di mancata indicazione il subappalto è vietato</w:t>
      </w:r>
      <w:r>
        <w:rPr>
          <w:rFonts w:ascii="Titillium" w:hAnsi="Titillium" w:cs="Calibri"/>
          <w:sz w:val="18"/>
          <w:szCs w:val="18"/>
        </w:rPr>
        <w:t>.</w:t>
      </w:r>
    </w:p>
    <w:p w14:paraId="23649F66" w14:textId="5A6DB88D" w:rsidR="00042A22" w:rsidRDefault="00042A22" w:rsidP="00966E20">
      <w:pPr>
        <w:tabs>
          <w:tab w:val="left" w:pos="0"/>
        </w:tabs>
        <w:spacing w:before="60" w:after="60"/>
        <w:rPr>
          <w:rFonts w:ascii="Titillium" w:hAnsi="Titillium" w:cs="Calibri"/>
          <w:sz w:val="18"/>
          <w:szCs w:val="18"/>
        </w:rPr>
      </w:pPr>
      <w:r w:rsidRPr="00042A22">
        <w:rPr>
          <w:rFonts w:ascii="Titillium" w:hAnsi="Titillium" w:cs="Calibri"/>
          <w:sz w:val="18"/>
          <w:szCs w:val="18"/>
        </w:rPr>
        <w:t>Non può essere affidata in subappalto l’integrale esecuzione delle prestazioni oggetto del contratto nonché la prevalente esecuzione delle medesime, che è riservata all’affidatario, trattandosi di contratto ad alta intensità di manodopera.</w:t>
      </w:r>
    </w:p>
    <w:p w14:paraId="4212DCFF" w14:textId="77777777" w:rsidR="00C53A71" w:rsidRPr="00C53A71" w:rsidRDefault="00C53A71" w:rsidP="00C53A71">
      <w:pPr>
        <w:spacing w:before="60" w:after="60"/>
        <w:rPr>
          <w:rFonts w:ascii="Titillium" w:hAnsi="Titillium" w:cs="Calibri"/>
          <w:sz w:val="18"/>
          <w:szCs w:val="18"/>
        </w:rPr>
      </w:pPr>
      <w:r w:rsidRPr="00C53A71">
        <w:rPr>
          <w:rFonts w:ascii="Titillium" w:hAnsi="Titillium" w:cs="Calibri"/>
          <w:sz w:val="18"/>
          <w:szCs w:val="18"/>
        </w:rPr>
        <w:t>In considerazione della peculiare natura del presente appalto, il quale ricomprende prestazioni da erogarsi a favore di utenza fragile e richiede uno stretto controllo sulla fase esecutiva, l'affidamento in subappalto è ammesso secondo le disposizioni dell’art. 119 del D.Lgs. 36/2023, previa autorizzazione del Comune, purché in sede di gara la ditta abbia indicato di volervi fare ricorso, precisando per quali prestazioni.</w:t>
      </w:r>
    </w:p>
    <w:p w14:paraId="68B4F67B" w14:textId="77777777" w:rsidR="00C53A71" w:rsidRPr="00C53A71" w:rsidRDefault="00C53A71" w:rsidP="00C53A71">
      <w:pPr>
        <w:spacing w:before="60" w:after="60"/>
        <w:rPr>
          <w:rFonts w:ascii="Titillium" w:hAnsi="Titillium" w:cs="Calibri"/>
          <w:sz w:val="18"/>
          <w:szCs w:val="18"/>
        </w:rPr>
      </w:pPr>
      <w:r w:rsidRPr="00C53A71">
        <w:rPr>
          <w:rFonts w:ascii="Titillium" w:hAnsi="Titillium" w:cs="Calibri"/>
          <w:sz w:val="18"/>
          <w:szCs w:val="18"/>
        </w:rPr>
        <w:t>Nella domanda di partecipazione il concorrente si impegna a subappaltare alle piccole e medie imprese una quota non inferiore al 20 per cento delle prestazioni che intende subappaltare.</w:t>
      </w:r>
    </w:p>
    <w:p w14:paraId="0160B058" w14:textId="77777777" w:rsidR="00C53A71" w:rsidRPr="00C53A71" w:rsidRDefault="00C53A71" w:rsidP="00C53A71">
      <w:pPr>
        <w:spacing w:before="60" w:after="60"/>
        <w:rPr>
          <w:rFonts w:ascii="Titillium" w:hAnsi="Titillium" w:cs="Calibri"/>
          <w:sz w:val="18"/>
          <w:szCs w:val="18"/>
        </w:rPr>
      </w:pPr>
      <w:r w:rsidRPr="00C53A71">
        <w:rPr>
          <w:rFonts w:ascii="Titillium" w:hAnsi="Titillium" w:cs="Calibri"/>
          <w:sz w:val="18"/>
          <w:szCs w:val="18"/>
        </w:rPr>
        <w:lastRenderedPageBreak/>
        <w:t>Le prestazioni subappaltabili non possono, a loro volta, essere oggetto di ulteriore subappalto, al fine di favorire un controllo ed un rapporto diretto con l’esecuzione delle diverse attività.</w:t>
      </w:r>
    </w:p>
    <w:p w14:paraId="7559C368" w14:textId="77777777" w:rsidR="00C53A71" w:rsidRDefault="00C53A71" w:rsidP="00C53A71">
      <w:pPr>
        <w:spacing w:before="60" w:after="60"/>
        <w:rPr>
          <w:rFonts w:ascii="Titillium" w:hAnsi="Titillium" w:cs="Calibri"/>
          <w:sz w:val="18"/>
          <w:szCs w:val="18"/>
        </w:rPr>
      </w:pPr>
      <w:r w:rsidRPr="00C53A71">
        <w:rPr>
          <w:rFonts w:ascii="Titillium" w:hAnsi="Titillium" w:cs="Calibri"/>
          <w:sz w:val="18"/>
          <w:szCs w:val="18"/>
        </w:rPr>
        <w:t>L’aggiudicatario e il subappaltatore sono responsabili in solido nei confronti della stazione appaltante dell’esecuzione delle prestazioni oggetto del contratto di subappalto.</w:t>
      </w:r>
    </w:p>
    <w:p w14:paraId="6A738B7B" w14:textId="77777777" w:rsidR="00C87438" w:rsidRDefault="00C87438" w:rsidP="00C87438">
      <w:pPr>
        <w:spacing w:before="60" w:after="60"/>
        <w:rPr>
          <w:rFonts w:ascii="Titillium" w:hAnsi="Titillium" w:cs="Calibri"/>
          <w:sz w:val="18"/>
          <w:szCs w:val="18"/>
        </w:rPr>
      </w:pPr>
      <w:r w:rsidRPr="000D5750">
        <w:rPr>
          <w:rFonts w:ascii="Titillium" w:hAnsi="Titillium" w:cs="Calibri"/>
          <w:sz w:val="18"/>
          <w:szCs w:val="18"/>
        </w:rPr>
        <w:t xml:space="preserve">Per il subappalto trova applicazione quanto previsto all’art. 119 del D.lgs. 36/2023. </w:t>
      </w:r>
    </w:p>
    <w:p w14:paraId="1DE25C66" w14:textId="77777777" w:rsidR="00AB66BF" w:rsidRPr="00AB66BF" w:rsidRDefault="00AB66BF" w:rsidP="00AB66BF">
      <w:pPr>
        <w:pStyle w:val="Titolo2"/>
        <w:numPr>
          <w:ilvl w:val="0"/>
          <w:numId w:val="3"/>
        </w:numPr>
        <w:ind w:left="357" w:hanging="357"/>
        <w:rPr>
          <w:rFonts w:ascii="Titillium" w:hAnsi="Titillium"/>
          <w:sz w:val="18"/>
          <w:szCs w:val="18"/>
        </w:rPr>
      </w:pPr>
      <w:bookmarkStart w:id="1606" w:name="_Ref531264739"/>
      <w:bookmarkStart w:id="1607" w:name="_Ref531346857"/>
      <w:bookmarkStart w:id="1608" w:name="_Ref531346843"/>
      <w:bookmarkStart w:id="1609" w:name="_Toc89270290"/>
      <w:bookmarkEnd w:id="1605"/>
      <w:r w:rsidRPr="00AB66BF">
        <w:rPr>
          <w:rFonts w:ascii="Titillium" w:hAnsi="Titillium"/>
          <w:sz w:val="18"/>
          <w:szCs w:val="18"/>
        </w:rPr>
        <w:t xml:space="preserve">REQUISITI DI PARTECIPAZIONE E/O CONDIZIONI DI ESECUZIONE  </w:t>
      </w:r>
    </w:p>
    <w:p w14:paraId="6D52330C" w14:textId="77777777" w:rsidR="008724B6" w:rsidRDefault="00AB66BF" w:rsidP="00AB66BF">
      <w:pPr>
        <w:spacing w:before="60" w:after="60"/>
        <w:rPr>
          <w:rFonts w:ascii="Titillium" w:hAnsi="Titillium" w:cs="Calibri"/>
          <w:sz w:val="18"/>
          <w:szCs w:val="18"/>
        </w:rPr>
      </w:pPr>
      <w:r w:rsidRPr="00AB66BF">
        <w:rPr>
          <w:rFonts w:ascii="Titillium" w:hAnsi="Titillium" w:cs="Calibri"/>
          <w:sz w:val="18"/>
          <w:szCs w:val="18"/>
        </w:rPr>
        <w:t>L’aggiudicatario è tenuto a garantire l’applicazione del contratto collettivo nazionale e territoriale (o dei contratti collettivi nazionali e territoriali di settore) di cui al punto 3</w:t>
      </w:r>
      <w:r w:rsidR="00103B73">
        <w:rPr>
          <w:rFonts w:ascii="Titillium" w:hAnsi="Titillium" w:cs="Calibri"/>
          <w:sz w:val="18"/>
          <w:szCs w:val="18"/>
        </w:rPr>
        <w:t>.</w:t>
      </w:r>
      <w:r w:rsidRPr="00AB66BF">
        <w:rPr>
          <w:rFonts w:ascii="Titillium" w:hAnsi="Titillium" w:cs="Calibri"/>
          <w:sz w:val="18"/>
          <w:szCs w:val="18"/>
        </w:rPr>
        <w:t xml:space="preserve"> </w:t>
      </w:r>
    </w:p>
    <w:p w14:paraId="13F9AD76" w14:textId="50A6A04E" w:rsidR="00AB66BF" w:rsidRDefault="00520452" w:rsidP="00AB66BF">
      <w:pPr>
        <w:spacing w:before="60" w:after="60"/>
        <w:rPr>
          <w:rFonts w:ascii="Titillium" w:hAnsi="Titillium" w:cs="Calibri"/>
          <w:sz w:val="18"/>
          <w:szCs w:val="18"/>
        </w:rPr>
      </w:pPr>
      <w:r w:rsidRPr="00520452">
        <w:rPr>
          <w:rFonts w:ascii="Titillium" w:hAnsi="Titillium" w:cs="Calibri"/>
          <w:sz w:val="18"/>
          <w:szCs w:val="18"/>
        </w:rPr>
        <w:t>In alternativa, l’aggiudicatario è tenuto a garantire l’applicazione di un altro contratto che garantisca le stesse tutele economiche e normative per i propri lavoratori e per quelli in subappalto</w:t>
      </w:r>
      <w:r w:rsidRPr="00520452">
        <w:rPr>
          <w:rFonts w:ascii="Titillium" w:hAnsi="Titillium" w:cs="Calibri"/>
          <w:b/>
          <w:sz w:val="18"/>
          <w:szCs w:val="18"/>
        </w:rPr>
        <w:t xml:space="preserve">; nel caso dovrà essere prodotta dichiarazione delle equivalenze su </w:t>
      </w:r>
      <w:r w:rsidRPr="008229E6">
        <w:rPr>
          <w:rFonts w:ascii="Titillium" w:hAnsi="Titillium" w:cs="Calibri"/>
          <w:b/>
          <w:sz w:val="18"/>
          <w:szCs w:val="18"/>
        </w:rPr>
        <w:t xml:space="preserve">modello Allegato </w:t>
      </w:r>
      <w:r w:rsidR="0022223A">
        <w:rPr>
          <w:rFonts w:ascii="Titillium" w:hAnsi="Titillium" w:cs="Calibri"/>
          <w:b/>
          <w:sz w:val="18"/>
          <w:szCs w:val="18"/>
        </w:rPr>
        <w:t>3</w:t>
      </w:r>
      <w:r w:rsidRPr="008229E6">
        <w:rPr>
          <w:rFonts w:ascii="Titillium" w:hAnsi="Titillium" w:cs="Calibri"/>
          <w:b/>
          <w:sz w:val="18"/>
          <w:szCs w:val="18"/>
        </w:rPr>
        <w:t xml:space="preserve">) </w:t>
      </w:r>
      <w:r w:rsidRPr="008229E6">
        <w:rPr>
          <w:rFonts w:ascii="Titillium" w:hAnsi="Titillium" w:cs="Calibri"/>
          <w:b/>
          <w:bCs/>
          <w:i/>
          <w:iCs/>
          <w:sz w:val="18"/>
          <w:szCs w:val="18"/>
        </w:rPr>
        <w:t>Modello relazione equiv</w:t>
      </w:r>
      <w:r w:rsidRPr="00520452">
        <w:rPr>
          <w:rFonts w:ascii="Titillium" w:hAnsi="Titillium" w:cs="Calibri"/>
          <w:b/>
          <w:bCs/>
          <w:i/>
          <w:iCs/>
          <w:sz w:val="18"/>
          <w:szCs w:val="18"/>
        </w:rPr>
        <w:t>alenza tutele (da includere nella busta dell’offerta economica)</w:t>
      </w:r>
      <w:r w:rsidRPr="00520452">
        <w:rPr>
          <w:rFonts w:ascii="Titillium" w:hAnsi="Titillium" w:cs="Calibri"/>
          <w:b/>
          <w:sz w:val="18"/>
          <w:szCs w:val="18"/>
        </w:rPr>
        <w:t xml:space="preserve"> al presente disciplinare</w:t>
      </w:r>
      <w:r w:rsidR="00103B73" w:rsidRPr="00103B73">
        <w:rPr>
          <w:rFonts w:ascii="Titillium" w:hAnsi="Titillium" w:cs="Calibri"/>
          <w:sz w:val="18"/>
          <w:szCs w:val="18"/>
        </w:rPr>
        <w:t>.</w:t>
      </w:r>
    </w:p>
    <w:p w14:paraId="5A88D8F7" w14:textId="7D52ABC2" w:rsidR="0043025A" w:rsidRDefault="0043025A" w:rsidP="0043025A">
      <w:pPr>
        <w:spacing w:before="60" w:after="60"/>
        <w:rPr>
          <w:rFonts w:ascii="Titillium" w:hAnsi="Titillium" w:cs="Calibri"/>
          <w:b/>
          <w:bCs/>
          <w:sz w:val="18"/>
          <w:szCs w:val="18"/>
          <w:u w:val="single"/>
        </w:rPr>
      </w:pPr>
      <w:r w:rsidRPr="0043025A">
        <w:rPr>
          <w:rFonts w:ascii="Titillium" w:hAnsi="Titillium" w:cs="Calibri"/>
          <w:sz w:val="18"/>
          <w:szCs w:val="18"/>
        </w:rPr>
        <w:t xml:space="preserve">Come specificato all’art. </w:t>
      </w:r>
      <w:r w:rsidR="00045791">
        <w:rPr>
          <w:rFonts w:ascii="Titillium" w:hAnsi="Titillium" w:cs="Calibri"/>
          <w:sz w:val="18"/>
          <w:szCs w:val="18"/>
        </w:rPr>
        <w:t>16ter</w:t>
      </w:r>
      <w:r w:rsidRPr="0043025A">
        <w:rPr>
          <w:rFonts w:ascii="Titillium" w:hAnsi="Titillium" w:cs="Calibri"/>
          <w:sz w:val="18"/>
          <w:szCs w:val="18"/>
        </w:rPr>
        <w:t xml:space="preserve"> del Capitolato Speciale d’Appalto, al fine inoltre di garantire le pari opportunità di genere, il concessionario si dovrà impegnare, qualora abbia l’esigenza di disporre di ulteriore manodopera rispetto a quella di cui si avvale per lo svolgimento delle attività rientranti fra quelle oggetto del contratto, e compatibilmente con l'effettiva reperibilità sul mercato, ad assicurare una quota pari almeno al </w:t>
      </w:r>
      <w:r w:rsidR="00E70A7E">
        <w:rPr>
          <w:rFonts w:ascii="Titillium" w:hAnsi="Titillium" w:cs="Calibri"/>
          <w:sz w:val="18"/>
          <w:szCs w:val="18"/>
        </w:rPr>
        <w:t>3</w:t>
      </w:r>
      <w:r w:rsidRPr="0043025A">
        <w:rPr>
          <w:rFonts w:ascii="Titillium" w:hAnsi="Titillium" w:cs="Calibri"/>
          <w:sz w:val="18"/>
          <w:szCs w:val="18"/>
        </w:rPr>
        <w:t xml:space="preserve">0% delle assunzioni necessarie di occupazione femminile o occupazione disabili o giovani. </w:t>
      </w:r>
      <w:r w:rsidRPr="0043025A">
        <w:rPr>
          <w:rFonts w:ascii="Titillium" w:hAnsi="Titillium" w:cs="Calibri"/>
          <w:b/>
          <w:bCs/>
          <w:sz w:val="18"/>
          <w:szCs w:val="18"/>
          <w:u w:val="single"/>
        </w:rPr>
        <w:t>L'impegno sarà oggetto di verifica durante la fase esecutiva del contratto.</w:t>
      </w:r>
    </w:p>
    <w:p w14:paraId="46D6826A" w14:textId="77777777" w:rsidR="00EE6067" w:rsidRPr="00305D5E" w:rsidRDefault="00EE6067" w:rsidP="00EE606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tillium" w:hAnsi="Titillium"/>
          <w:i/>
          <w:iCs/>
          <w:sz w:val="18"/>
          <w:szCs w:val="18"/>
        </w:rPr>
      </w:pPr>
      <w:r w:rsidRPr="00305D5E">
        <w:rPr>
          <w:rFonts w:ascii="Titillium" w:hAnsi="Titillium"/>
          <w:iCs/>
          <w:sz w:val="18"/>
          <w:szCs w:val="18"/>
        </w:rPr>
        <w:t>Ai sensi dell’art. art. 57 comma 2bis e Allegato II.3 del D.lgs. n. 36/2023</w:t>
      </w:r>
      <w:r w:rsidRPr="00305D5E">
        <w:rPr>
          <w:rFonts w:ascii="Titillium" w:hAnsi="Titillium"/>
          <w:i/>
          <w:iCs/>
          <w:sz w:val="18"/>
          <w:szCs w:val="18"/>
        </w:rPr>
        <w:t>:</w:t>
      </w:r>
    </w:p>
    <w:p w14:paraId="2E55FDC4" w14:textId="77777777" w:rsidR="00EE6067" w:rsidRPr="00401787" w:rsidRDefault="00EE6067" w:rsidP="00EE6067">
      <w:pPr>
        <w:pStyle w:val="Paragrafoelenco"/>
        <w:widowControl w:val="0"/>
        <w:numPr>
          <w:ilvl w:val="0"/>
          <w:numId w:val="5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contextualSpacing/>
        <w:rPr>
          <w:rFonts w:ascii="Titillium" w:hAnsi="Titillium" w:cs="Courier New"/>
          <w:sz w:val="18"/>
          <w:szCs w:val="18"/>
        </w:rPr>
      </w:pPr>
      <w:r w:rsidRPr="00305D5E">
        <w:rPr>
          <w:rFonts w:ascii="Titillium" w:hAnsi="Titillium"/>
          <w:iCs/>
          <w:sz w:val="18"/>
          <w:szCs w:val="18"/>
        </w:rPr>
        <w:t xml:space="preserve">gli operatori economici che occupano </w:t>
      </w:r>
      <w:r w:rsidRPr="007170CF">
        <w:rPr>
          <w:rFonts w:ascii="Titillium" w:hAnsi="Titillium"/>
          <w:b/>
          <w:bCs/>
          <w:iCs/>
          <w:sz w:val="18"/>
          <w:szCs w:val="18"/>
        </w:rPr>
        <w:t xml:space="preserve">più di </w:t>
      </w:r>
      <w:r>
        <w:rPr>
          <w:rFonts w:ascii="Titillium" w:hAnsi="Titillium"/>
          <w:b/>
          <w:bCs/>
          <w:iCs/>
          <w:sz w:val="18"/>
          <w:szCs w:val="18"/>
        </w:rPr>
        <w:t>50</w:t>
      </w:r>
      <w:r w:rsidRPr="007170CF">
        <w:rPr>
          <w:rFonts w:ascii="Titillium" w:hAnsi="Titillium"/>
          <w:b/>
          <w:bCs/>
          <w:iCs/>
          <w:sz w:val="18"/>
          <w:szCs w:val="18"/>
        </w:rPr>
        <w:t xml:space="preserve"> dipendenti</w:t>
      </w:r>
      <w:r w:rsidRPr="00305D5E">
        <w:rPr>
          <w:rFonts w:ascii="Titillium" w:hAnsi="Titillium"/>
          <w:b/>
          <w:i/>
          <w:iCs/>
          <w:sz w:val="18"/>
          <w:szCs w:val="18"/>
        </w:rPr>
        <w:t xml:space="preserve"> </w:t>
      </w:r>
      <w:r w:rsidRPr="00305D5E">
        <w:rPr>
          <w:rFonts w:ascii="Titillium" w:hAnsi="Titillium"/>
          <w:i/>
          <w:iCs/>
          <w:sz w:val="18"/>
          <w:szCs w:val="18"/>
        </w:rPr>
        <w:t xml:space="preserve">sono tenuti, in  sede di presentazione dell’offerta, ad allegare </w:t>
      </w:r>
      <w:r w:rsidRPr="00305D5E">
        <w:rPr>
          <w:rFonts w:ascii="Titillium" w:hAnsi="Titillium"/>
          <w:sz w:val="18"/>
          <w:szCs w:val="18"/>
        </w:rPr>
        <w:t xml:space="preserve"> copia dell’ultimo rapporto redatto sulla situazione del personale con attestazione della sua conformità a quello trasmesso alle rappresentanze sindacali aziendali, alla consigliera e al consigliere regionale di parità, oppure qualora gli operatori economici non abbiano trasmesso il suddetto rapporto nei termini di cui sopra, dovranno predisporlo e trasmetterlo contestualmente alla produzione in sede di gara anche alle rappresentanze sindacali aziendali, alla consigliera e al consigliere regionale di parità</w:t>
      </w:r>
      <w:r>
        <w:rPr>
          <w:rFonts w:ascii="Titillium" w:hAnsi="Titillium"/>
          <w:sz w:val="18"/>
          <w:szCs w:val="18"/>
        </w:rPr>
        <w:t>.</w:t>
      </w:r>
    </w:p>
    <w:p w14:paraId="33F51934" w14:textId="77777777" w:rsidR="00EE6067" w:rsidRPr="00362720" w:rsidRDefault="00EE6067" w:rsidP="00EE606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ind w:left="426"/>
        <w:rPr>
          <w:rFonts w:ascii="Titillium" w:hAnsi="Titillium" w:cs="Courier New"/>
          <w:b/>
          <w:bCs/>
          <w:sz w:val="18"/>
          <w:szCs w:val="18"/>
        </w:rPr>
      </w:pPr>
      <w:r w:rsidRPr="00362720">
        <w:rPr>
          <w:rFonts w:ascii="Titillium" w:hAnsi="Titillium" w:cs="Courier New"/>
          <w:b/>
          <w:bCs/>
          <w:sz w:val="18"/>
          <w:szCs w:val="18"/>
        </w:rPr>
        <w:t>In caso di partecipazione in forma di RTI, coassicurazione, consorzio, reti di imprese o GEIE, tutte le imprese costituenti il raggruppamento, nonché le consorziate esecutrici, se tenute agli obblighi di comunicazione di cui all’art. 46 del D.lgs. 198/2006, devono presentare la documentazione di cui sopra.</w:t>
      </w:r>
    </w:p>
    <w:p w14:paraId="5CD4A0ED" w14:textId="77777777" w:rsidR="00EE6067" w:rsidRPr="00305D5E" w:rsidRDefault="00EE6067" w:rsidP="00EE6067">
      <w:pPr>
        <w:pStyle w:val="Paragrafoelenco"/>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rPr>
          <w:rFonts w:ascii="Titillium" w:hAnsi="Titillium" w:cs="Courier New"/>
          <w:sz w:val="18"/>
          <w:szCs w:val="18"/>
        </w:rPr>
      </w:pPr>
    </w:p>
    <w:p w14:paraId="642E9769" w14:textId="77777777" w:rsidR="00EE6067" w:rsidRPr="00C504D2" w:rsidRDefault="00EE6067" w:rsidP="00EE6067">
      <w:pPr>
        <w:pStyle w:val="Paragrafoelenco"/>
        <w:widowControl w:val="0"/>
        <w:numPr>
          <w:ilvl w:val="0"/>
          <w:numId w:val="5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contextualSpacing/>
        <w:rPr>
          <w:rFonts w:ascii="Titillium" w:hAnsi="Titillium" w:cs="Calibri"/>
          <w:sz w:val="18"/>
          <w:szCs w:val="18"/>
        </w:rPr>
      </w:pPr>
      <w:r w:rsidRPr="00305D5E">
        <w:rPr>
          <w:rFonts w:ascii="Titillium" w:hAnsi="Titillium" w:cs="Calibri"/>
          <w:sz w:val="18"/>
          <w:szCs w:val="18"/>
        </w:rPr>
        <w:t xml:space="preserve">gli operatori economici che occupano un numero </w:t>
      </w:r>
      <w:r w:rsidRPr="007170CF">
        <w:rPr>
          <w:rFonts w:ascii="Titillium" w:hAnsi="Titillium" w:cs="Calibri"/>
          <w:b/>
          <w:bCs/>
          <w:sz w:val="18"/>
          <w:szCs w:val="18"/>
        </w:rPr>
        <w:t xml:space="preserve">pari o </w:t>
      </w:r>
      <w:r w:rsidRPr="00C504D2">
        <w:rPr>
          <w:rFonts w:ascii="Titillium" w:hAnsi="Titillium" w:cs="Calibri"/>
          <w:b/>
          <w:bCs/>
          <w:sz w:val="18"/>
          <w:szCs w:val="18"/>
        </w:rPr>
        <w:t>superiore a 15 dipendenti e non superiore a 50</w:t>
      </w:r>
      <w:r w:rsidRPr="00C504D2">
        <w:rPr>
          <w:rFonts w:ascii="Titillium" w:hAnsi="Titillium" w:cs="Calibri"/>
          <w:sz w:val="18"/>
          <w:szCs w:val="18"/>
        </w:rPr>
        <w:t>, non tenuti alla redazione del rapporto sulla situazione del personale, sono tenuti, entro sei mesi dalla conclusione</w:t>
      </w:r>
      <w:r>
        <w:rPr>
          <w:rFonts w:ascii="Titillium" w:hAnsi="Titillium" w:cs="Calibri"/>
          <w:sz w:val="18"/>
          <w:szCs w:val="18"/>
        </w:rPr>
        <w:t>*</w:t>
      </w:r>
      <w:r w:rsidRPr="00C504D2">
        <w:rPr>
          <w:rFonts w:ascii="Titillium" w:hAnsi="Titillium" w:cs="Calibri"/>
          <w:sz w:val="18"/>
          <w:szCs w:val="18"/>
        </w:rPr>
        <w:t xml:space="preserv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L'operatore economico è altresì tenuto a trasmettere la relazione alle rappresentanze sindacali aziendali e alla consigliera e al consigliere regionale di parità. </w:t>
      </w:r>
      <w:r w:rsidRPr="00C504D2">
        <w:rPr>
          <w:rFonts w:ascii="Titillium" w:hAnsi="Titillium" w:cs="Courier New"/>
          <w:b/>
          <w:bCs/>
          <w:sz w:val="18"/>
          <w:szCs w:val="18"/>
        </w:rPr>
        <w:t>La violazione dell’obbligo di cui al comma 3 dell’art.1 dell’Allegato II.3 del D.lgs. 36/2023 determina, altresì, l’impossibilità per l’operatore economico di partecipare, in forma singola ovvero in raggruppamento temporaneo, per un periodo di dodici mesi a ulteriori procedure di affidamento (art. 1 comma 6 dell’Allegato II.3 del D.lgs. 36/2023);</w:t>
      </w:r>
    </w:p>
    <w:p w14:paraId="6A7385E3" w14:textId="77777777" w:rsidR="00EE6067" w:rsidRPr="00C504D2" w:rsidRDefault="00EE6067" w:rsidP="00EE6067">
      <w:pPr>
        <w:pStyle w:val="Paragrafoelenco"/>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rPr>
          <w:rFonts w:ascii="Titillium" w:hAnsi="Titillium" w:cs="Calibri"/>
          <w:sz w:val="18"/>
          <w:szCs w:val="18"/>
        </w:rPr>
      </w:pPr>
    </w:p>
    <w:p w14:paraId="6CE44122" w14:textId="77777777" w:rsidR="00EE6067" w:rsidRDefault="00EE6067" w:rsidP="00EE6067">
      <w:pPr>
        <w:pStyle w:val="Paragrafoelenco"/>
        <w:widowControl w:val="0"/>
        <w:numPr>
          <w:ilvl w:val="0"/>
          <w:numId w:val="5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contextualSpacing/>
        <w:rPr>
          <w:rFonts w:ascii="Titillium" w:hAnsi="Titillium" w:cs="Calibri"/>
          <w:sz w:val="18"/>
          <w:szCs w:val="18"/>
        </w:rPr>
      </w:pPr>
      <w:r w:rsidRPr="00C504D2">
        <w:rPr>
          <w:rFonts w:ascii="Titillium" w:hAnsi="Titillium" w:cs="Calibri"/>
          <w:sz w:val="18"/>
          <w:szCs w:val="18"/>
        </w:rPr>
        <w:t xml:space="preserve">gli operatori economici che occupano un numero di </w:t>
      </w:r>
      <w:r w:rsidRPr="00C504D2">
        <w:rPr>
          <w:rFonts w:ascii="Titillium" w:hAnsi="Titillium" w:cs="Calibri"/>
          <w:b/>
          <w:bCs/>
          <w:sz w:val="18"/>
          <w:szCs w:val="18"/>
        </w:rPr>
        <w:t>dipendenti pari o superiore a 15</w:t>
      </w:r>
      <w:r w:rsidRPr="00C504D2">
        <w:rPr>
          <w:rFonts w:ascii="Titillium" w:hAnsi="Titillium" w:cs="Calibri"/>
          <w:sz w:val="18"/>
          <w:szCs w:val="18"/>
        </w:rPr>
        <w:t xml:space="preserve"> sono tenuti, entro sei mesi dalla conclusione del contratto, a consegnare alla stazione appaltante una relazione che chiarisca l'avvenuto assolvimento degli obblighi previsti a carico delle imprese dalla legge 12 marzo 1999, n. 68, e illustri eventuali sanzioni e provvedimenti imposti a carico delle imprese nel triennio precedente la data di scadenza</w:t>
      </w:r>
      <w:r w:rsidRPr="00305D5E">
        <w:rPr>
          <w:rFonts w:ascii="Titillium" w:hAnsi="Titillium" w:cs="Calibri"/>
          <w:sz w:val="18"/>
          <w:szCs w:val="18"/>
        </w:rPr>
        <w:t xml:space="preserve"> della presentazione delle offerte. L'operatore economico è altresì tenuto a trasmettere la relazione alle rappresentanze sindacali aziendali.</w:t>
      </w:r>
    </w:p>
    <w:p w14:paraId="0BA3B63B" w14:textId="77777777" w:rsidR="00EE6067" w:rsidRPr="00E90E03" w:rsidRDefault="00EE6067" w:rsidP="00EE606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rPr>
          <w:rFonts w:ascii="Titillium" w:hAnsi="Titillium" w:cs="Calibri"/>
          <w:b/>
          <w:bCs/>
          <w:i/>
          <w:iCs/>
          <w:sz w:val="18"/>
          <w:szCs w:val="18"/>
        </w:rPr>
      </w:pPr>
      <w:r>
        <w:rPr>
          <w:rFonts w:ascii="Titillium" w:hAnsi="Titillium" w:cs="Calibri"/>
          <w:b/>
          <w:bCs/>
          <w:sz w:val="18"/>
          <w:szCs w:val="18"/>
        </w:rPr>
        <w:t>*</w:t>
      </w:r>
      <w:r w:rsidRPr="00E90E03">
        <w:rPr>
          <w:rFonts w:ascii="Titillium" w:hAnsi="Titillium" w:cs="Calibri"/>
          <w:b/>
          <w:bCs/>
          <w:i/>
          <w:iCs/>
          <w:sz w:val="18"/>
          <w:szCs w:val="18"/>
        </w:rPr>
        <w:t>Con riferimento al parere n. 1203/2022 del Ministero Infrastrutture e della Mobilità Sostenibile con il termine “conclusione del contratto” si intende il momento della stipula.</w:t>
      </w:r>
    </w:p>
    <w:p w14:paraId="2292B919" w14:textId="77777777" w:rsidR="00EE6067" w:rsidRPr="00035C49" w:rsidRDefault="00EE6067" w:rsidP="00EE606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rPr>
          <w:rFonts w:ascii="Titillium" w:hAnsi="Titillium" w:cs="Calibri"/>
          <w:sz w:val="18"/>
          <w:szCs w:val="18"/>
        </w:rPr>
      </w:pPr>
      <w:r w:rsidRPr="00035C49">
        <w:rPr>
          <w:rFonts w:ascii="Titillium" w:hAnsi="Titillium" w:cs="Calibri"/>
          <w:sz w:val="18"/>
          <w:szCs w:val="18"/>
        </w:rPr>
        <w:t xml:space="preserve">Ai sensi dell'art. 94, comma 5 b) del D.lgs. 36/2023 e dell’articolo 17 della legge 12 marzo 1999, n. 68, le imprese, pubbliche o private, partecipanti alla procedura di gara in oggetto sono tenute a presentare al momento della presentazione dell’offerta, la </w:t>
      </w:r>
      <w:r w:rsidRPr="00035C49">
        <w:rPr>
          <w:rFonts w:ascii="Titillium" w:hAnsi="Titillium" w:cs="Calibri"/>
          <w:sz w:val="18"/>
          <w:szCs w:val="18"/>
        </w:rPr>
        <w:lastRenderedPageBreak/>
        <w:t>dichiarazione del legale rappresentante che attesti di essere in regola con le norme che disciplinano il diritto al lavoro delle persone con disabilità.</w:t>
      </w:r>
    </w:p>
    <w:p w14:paraId="3732D3D0" w14:textId="77777777" w:rsidR="00E910BA" w:rsidRDefault="00870286" w:rsidP="00E910BA">
      <w:pPr>
        <w:pStyle w:val="Titolo2"/>
        <w:numPr>
          <w:ilvl w:val="0"/>
          <w:numId w:val="3"/>
        </w:numPr>
        <w:ind w:left="357" w:hanging="357"/>
        <w:rPr>
          <w:rFonts w:ascii="Titillium" w:hAnsi="Titillium" w:cs="Calibri"/>
          <w:b w:val="0"/>
          <w:bCs w:val="0"/>
          <w:iCs w:val="0"/>
          <w:caps w:val="0"/>
          <w:sz w:val="18"/>
          <w:szCs w:val="18"/>
          <w:lang w:val="it-IT"/>
        </w:rPr>
      </w:pPr>
      <w:r w:rsidRPr="00A04B2E">
        <w:rPr>
          <w:rFonts w:ascii="Titillium" w:hAnsi="Titillium" w:cs="Calibri"/>
          <w:sz w:val="18"/>
          <w:szCs w:val="18"/>
          <w:lang w:val="it-IT"/>
        </w:rPr>
        <w:t>GARANZIA PROVVISOR</w:t>
      </w:r>
      <w:r w:rsidRPr="00A04B2E">
        <w:rPr>
          <w:rFonts w:ascii="Titillium" w:hAnsi="Titillium"/>
          <w:sz w:val="18"/>
          <w:szCs w:val="18"/>
        </w:rPr>
        <w:t>IA</w:t>
      </w:r>
      <w:bookmarkEnd w:id="1606"/>
      <w:bookmarkEnd w:id="1607"/>
      <w:bookmarkEnd w:id="1608"/>
      <w:bookmarkEnd w:id="1609"/>
      <w:r w:rsidR="00060C9D" w:rsidRPr="00A04B2E">
        <w:rPr>
          <w:rFonts w:ascii="Titillium" w:hAnsi="Titillium"/>
          <w:sz w:val="18"/>
          <w:szCs w:val="18"/>
          <w:lang w:val="it-IT"/>
        </w:rPr>
        <w:t xml:space="preserve"> </w:t>
      </w:r>
      <w:bookmarkStart w:id="1610" w:name="_Toc89270291"/>
    </w:p>
    <w:p w14:paraId="38AE4CF8" w14:textId="12A74C9D" w:rsidR="00E910BA" w:rsidRPr="00E910BA" w:rsidRDefault="00E910BA" w:rsidP="00E910BA">
      <w:pPr>
        <w:spacing w:before="60" w:after="60"/>
        <w:rPr>
          <w:rFonts w:ascii="Titillium" w:hAnsi="Titillium" w:cs="Calibri"/>
          <w:sz w:val="18"/>
          <w:szCs w:val="18"/>
        </w:rPr>
      </w:pPr>
      <w:r w:rsidRPr="00E910BA">
        <w:rPr>
          <w:rFonts w:ascii="Titillium" w:hAnsi="Titillium" w:cs="Calibri"/>
          <w:sz w:val="18"/>
          <w:szCs w:val="18"/>
        </w:rPr>
        <w:t>Conformemente a quanto previsto dall’art. 53, comma 1 del Codice, non si richiede la costituzione di garanzia provvisoria di cui all’art. 106 del D.Lgs. 36/2023, da parte dei concorrenti ai fini della partecipazione alla presente gara.</w:t>
      </w:r>
    </w:p>
    <w:p w14:paraId="32169810" w14:textId="11CB9F7D" w:rsidR="009C2E74" w:rsidRDefault="00E910BA" w:rsidP="00E910BA">
      <w:pPr>
        <w:spacing w:before="60" w:after="60"/>
        <w:rPr>
          <w:rFonts w:ascii="Titillium" w:hAnsi="Titillium" w:cs="Calibri"/>
          <w:sz w:val="18"/>
          <w:szCs w:val="18"/>
        </w:rPr>
      </w:pPr>
      <w:r w:rsidRPr="00E910BA">
        <w:rPr>
          <w:rFonts w:ascii="Titillium" w:hAnsi="Titillium" w:cs="Calibri"/>
          <w:sz w:val="18"/>
          <w:szCs w:val="18"/>
        </w:rPr>
        <w:t>La garanzia definitiva dovrà essere prestata nelle modalità di cui all’art. 117 del D.lgs. 36/2023, prima della formale sottoscrizione della convenzione dall'aggiudicatario, nella misura del 5% dell’importo contrattuale, ai sensi dell’art. 53 comma 4 e 4-bis.</w:t>
      </w:r>
    </w:p>
    <w:p w14:paraId="04FF7693" w14:textId="77777777" w:rsidR="00E910BA" w:rsidRPr="009C2E74" w:rsidRDefault="00E910BA" w:rsidP="00E910BA">
      <w:pPr>
        <w:spacing w:before="60" w:after="60"/>
        <w:rPr>
          <w:rFonts w:ascii="Titillium" w:hAnsi="Titillium"/>
          <w:sz w:val="18"/>
          <w:szCs w:val="18"/>
        </w:rPr>
      </w:pPr>
    </w:p>
    <w:p w14:paraId="66266886" w14:textId="66DFC85D" w:rsidR="00D3158C" w:rsidRDefault="00870286" w:rsidP="009C2E74">
      <w:pPr>
        <w:pStyle w:val="Titolo2"/>
        <w:numPr>
          <w:ilvl w:val="0"/>
          <w:numId w:val="3"/>
        </w:numPr>
        <w:spacing w:before="0" w:line="240" w:lineRule="auto"/>
        <w:ind w:left="357" w:hanging="357"/>
        <w:rPr>
          <w:rFonts w:ascii="Titillium" w:hAnsi="Titillium"/>
          <w:sz w:val="18"/>
          <w:szCs w:val="18"/>
          <w:lang w:val="it-IT"/>
        </w:rPr>
      </w:pPr>
      <w:r w:rsidRPr="00094C9A">
        <w:rPr>
          <w:rFonts w:ascii="Titillium" w:hAnsi="Titillium"/>
          <w:sz w:val="18"/>
          <w:szCs w:val="18"/>
        </w:rPr>
        <w:t>SOPRALLUOGO</w:t>
      </w:r>
      <w:bookmarkEnd w:id="1610"/>
    </w:p>
    <w:p w14:paraId="019A86D7" w14:textId="7153526D" w:rsidR="00802C9F" w:rsidRPr="00D3158C" w:rsidRDefault="00094C9A" w:rsidP="009C2E74">
      <w:pPr>
        <w:pStyle w:val="Titolo2"/>
        <w:numPr>
          <w:ilvl w:val="0"/>
          <w:numId w:val="0"/>
        </w:numPr>
        <w:spacing w:before="0" w:line="240" w:lineRule="auto"/>
        <w:rPr>
          <w:rFonts w:ascii="Titillium" w:hAnsi="Titillium"/>
          <w:sz w:val="18"/>
          <w:szCs w:val="18"/>
          <w:lang w:val="it-IT"/>
        </w:rPr>
      </w:pPr>
      <w:r w:rsidRPr="00D3158C">
        <w:rPr>
          <w:rFonts w:ascii="Titillium" w:hAnsi="Titillium"/>
          <w:sz w:val="18"/>
          <w:szCs w:val="18"/>
          <w:lang w:val="it-IT"/>
        </w:rPr>
        <w:t xml:space="preserve"> </w:t>
      </w:r>
      <w:r w:rsidR="00802C9F" w:rsidRPr="00D3158C">
        <w:rPr>
          <w:rFonts w:ascii="Titillium" w:hAnsi="Titillium" w:cs="Calibri"/>
          <w:bCs w:val="0"/>
          <w:caps w:val="0"/>
          <w:sz w:val="18"/>
          <w:szCs w:val="18"/>
          <w:u w:val="single"/>
          <w:lang w:val="it-IT"/>
        </w:rPr>
        <w:t xml:space="preserve">NON </w:t>
      </w:r>
      <w:r w:rsidR="00EB0366">
        <w:rPr>
          <w:rFonts w:ascii="Titillium" w:hAnsi="Titillium" w:cs="Calibri"/>
          <w:bCs w:val="0"/>
          <w:caps w:val="0"/>
          <w:sz w:val="18"/>
          <w:szCs w:val="18"/>
          <w:u w:val="single"/>
          <w:lang w:val="it-IT"/>
        </w:rPr>
        <w:t>È</w:t>
      </w:r>
      <w:r w:rsidR="00802C9F" w:rsidRPr="00D3158C">
        <w:rPr>
          <w:rFonts w:ascii="Titillium" w:hAnsi="Titillium" w:cs="Calibri"/>
          <w:bCs w:val="0"/>
          <w:caps w:val="0"/>
          <w:sz w:val="18"/>
          <w:szCs w:val="18"/>
          <w:u w:val="single"/>
          <w:lang w:val="it-IT"/>
        </w:rPr>
        <w:t xml:space="preserve"> PREVISTO</w:t>
      </w:r>
      <w:r w:rsidR="00802C9F" w:rsidRPr="00D3158C">
        <w:rPr>
          <w:rFonts w:ascii="Titillium" w:hAnsi="Titillium" w:cs="Calibri"/>
          <w:b w:val="0"/>
          <w:bCs w:val="0"/>
          <w:caps w:val="0"/>
          <w:sz w:val="18"/>
          <w:szCs w:val="18"/>
          <w:lang w:val="it-IT"/>
        </w:rPr>
        <w:t>.</w:t>
      </w:r>
    </w:p>
    <w:p w14:paraId="4506D22D" w14:textId="64F87F78" w:rsidR="004C53A8" w:rsidRPr="00CD60CA" w:rsidRDefault="00870286" w:rsidP="008300A5">
      <w:pPr>
        <w:pStyle w:val="Titolo2"/>
        <w:numPr>
          <w:ilvl w:val="0"/>
          <w:numId w:val="3"/>
        </w:numPr>
        <w:ind w:left="357" w:hanging="357"/>
      </w:pPr>
      <w:bookmarkStart w:id="1611" w:name="_Toc89270292"/>
      <w:r>
        <w:rPr>
          <w:rFonts w:ascii="Titillium" w:hAnsi="Titillium"/>
          <w:sz w:val="18"/>
          <w:szCs w:val="18"/>
          <w:lang w:val="it-IT"/>
        </w:rPr>
        <w:t>PAGAMENTO DEL CONTRIBUTO A FAVORE DELL’</w:t>
      </w:r>
      <w:r>
        <w:rPr>
          <w:rFonts w:ascii="Titillium" w:hAnsi="Titillium" w:cs="Calibri"/>
          <w:sz w:val="18"/>
          <w:szCs w:val="18"/>
        </w:rPr>
        <w:t>ANAC</w:t>
      </w:r>
      <w:bookmarkStart w:id="1612" w:name="_Toc416423364"/>
      <w:bookmarkStart w:id="1613" w:name="_Toc406754179"/>
      <w:bookmarkStart w:id="1614" w:name="_Toc406058378"/>
      <w:bookmarkStart w:id="1615" w:name="_Toc403471272"/>
      <w:bookmarkStart w:id="1616" w:name="_Toc397422865"/>
      <w:bookmarkStart w:id="1617" w:name="_Toc397346824"/>
      <w:bookmarkStart w:id="1618" w:name="_Toc393706909"/>
      <w:bookmarkStart w:id="1619" w:name="_Toc393700836"/>
      <w:bookmarkStart w:id="1620" w:name="_Toc393283177"/>
      <w:bookmarkStart w:id="1621" w:name="_Toc393272661"/>
      <w:bookmarkStart w:id="1622" w:name="_Toc393272603"/>
      <w:bookmarkStart w:id="1623" w:name="_Toc393187847"/>
      <w:bookmarkStart w:id="1624" w:name="_Toc393112130"/>
      <w:bookmarkStart w:id="1625" w:name="_Toc393110566"/>
      <w:bookmarkStart w:id="1626" w:name="_Toc392577499"/>
      <w:bookmarkStart w:id="1627" w:name="_Toc391036058"/>
      <w:bookmarkStart w:id="1628" w:name="_Toc391035985"/>
      <w:bookmarkStart w:id="1629" w:name="_Toc380501872"/>
      <w:bookmarkStart w:id="1630" w:name="_Toc354038185"/>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r w:rsidR="0001043B">
        <w:rPr>
          <w:rFonts w:ascii="Titillium" w:hAnsi="Titillium" w:cs="Calibri"/>
          <w:sz w:val="18"/>
          <w:szCs w:val="18"/>
        </w:rPr>
        <w:t xml:space="preserve"> </w:t>
      </w:r>
      <w:r w:rsidR="0001043B" w:rsidRPr="00CD60CA">
        <w:rPr>
          <w:rFonts w:ascii="Titillium" w:hAnsi="Titillium" w:cs="Calibri"/>
          <w:sz w:val="18"/>
          <w:szCs w:val="18"/>
        </w:rPr>
        <w:t xml:space="preserve">(€ </w:t>
      </w:r>
      <w:r w:rsidR="00A45320" w:rsidRPr="00CD60CA">
        <w:rPr>
          <w:rFonts w:ascii="Titillium" w:hAnsi="Titillium" w:cs="Calibri"/>
          <w:sz w:val="18"/>
          <w:szCs w:val="18"/>
        </w:rPr>
        <w:t>33</w:t>
      </w:r>
      <w:r w:rsidR="0001043B" w:rsidRPr="00CD60CA">
        <w:rPr>
          <w:rFonts w:ascii="Titillium" w:hAnsi="Titillium" w:cs="Calibri"/>
          <w:sz w:val="18"/>
          <w:szCs w:val="18"/>
        </w:rPr>
        <w:t>,00)</w:t>
      </w:r>
    </w:p>
    <w:p w14:paraId="06708DA4" w14:textId="18219C15" w:rsidR="00E76F65" w:rsidRDefault="00870286">
      <w:pPr>
        <w:spacing w:before="60" w:after="60"/>
        <w:rPr>
          <w:rFonts w:ascii="Titillium" w:hAnsi="Titillium" w:cs="Calibri"/>
          <w:bCs/>
          <w:sz w:val="18"/>
          <w:szCs w:val="18"/>
        </w:rPr>
      </w:pPr>
      <w:r w:rsidRPr="00CD60CA">
        <w:rPr>
          <w:rFonts w:ascii="Titillium" w:hAnsi="Titillium" w:cs="Calibri"/>
          <w:sz w:val="18"/>
          <w:szCs w:val="18"/>
        </w:rPr>
        <w:t xml:space="preserve">I concorrenti effettuano, a pena di esclusione, </w:t>
      </w:r>
      <w:r w:rsidR="003D7007" w:rsidRPr="00CD60CA">
        <w:rPr>
          <w:rFonts w:ascii="Titillium" w:hAnsi="Titillium" w:cs="Calibri"/>
          <w:sz w:val="18"/>
          <w:szCs w:val="18"/>
        </w:rPr>
        <w:t xml:space="preserve">il </w:t>
      </w:r>
      <w:r w:rsidRPr="00CD60CA">
        <w:rPr>
          <w:rFonts w:ascii="Titillium" w:hAnsi="Titillium" w:cs="Calibri"/>
          <w:sz w:val="18"/>
          <w:szCs w:val="18"/>
        </w:rPr>
        <w:t xml:space="preserve">pagamento del contributo </w:t>
      </w:r>
      <w:r w:rsidR="0059585C" w:rsidRPr="00CD60CA">
        <w:rPr>
          <w:rFonts w:ascii="Titillium" w:hAnsi="Titillium" w:cs="Calibri"/>
          <w:b/>
          <w:sz w:val="18"/>
          <w:szCs w:val="18"/>
        </w:rPr>
        <w:t xml:space="preserve">di € </w:t>
      </w:r>
      <w:r w:rsidR="00A45320" w:rsidRPr="00CD60CA">
        <w:rPr>
          <w:rFonts w:ascii="Titillium" w:hAnsi="Titillium" w:cs="Calibri"/>
          <w:b/>
          <w:sz w:val="18"/>
          <w:szCs w:val="18"/>
        </w:rPr>
        <w:t>33</w:t>
      </w:r>
      <w:r w:rsidR="00D6325F" w:rsidRPr="00CD60CA">
        <w:rPr>
          <w:rFonts w:ascii="Titillium" w:hAnsi="Titillium" w:cs="Calibri"/>
          <w:b/>
          <w:sz w:val="18"/>
          <w:szCs w:val="18"/>
        </w:rPr>
        <w:t>,00</w:t>
      </w:r>
      <w:r w:rsidR="0059585C" w:rsidRPr="00CD60CA">
        <w:rPr>
          <w:rFonts w:ascii="Titillium" w:hAnsi="Titillium" w:cs="Calibri"/>
          <w:b/>
          <w:sz w:val="18"/>
          <w:szCs w:val="18"/>
        </w:rPr>
        <w:t xml:space="preserve"> (</w:t>
      </w:r>
      <w:r w:rsidR="002760F1" w:rsidRPr="00CD60CA">
        <w:rPr>
          <w:rFonts w:ascii="Titillium" w:hAnsi="Titillium" w:cs="Calibri"/>
          <w:b/>
          <w:sz w:val="18"/>
          <w:szCs w:val="18"/>
        </w:rPr>
        <w:t>trentatré</w:t>
      </w:r>
      <w:r w:rsidR="0059585C" w:rsidRPr="00CD60CA">
        <w:rPr>
          <w:rFonts w:ascii="Titillium" w:hAnsi="Titillium" w:cs="Calibri"/>
          <w:b/>
          <w:sz w:val="18"/>
          <w:szCs w:val="18"/>
        </w:rPr>
        <w:t>/00</w:t>
      </w:r>
      <w:r w:rsidR="00F81904" w:rsidRPr="00CD60CA">
        <w:rPr>
          <w:rFonts w:ascii="Titillium" w:hAnsi="Titillium" w:cs="Calibri"/>
          <w:b/>
          <w:sz w:val="18"/>
          <w:szCs w:val="18"/>
        </w:rPr>
        <w:t>)</w:t>
      </w:r>
      <w:r w:rsidR="00F81904" w:rsidRPr="00CD60CA">
        <w:rPr>
          <w:rFonts w:ascii="Titillium" w:hAnsi="Titillium" w:cs="Calibri"/>
          <w:sz w:val="18"/>
          <w:szCs w:val="18"/>
        </w:rPr>
        <w:t xml:space="preserve"> </w:t>
      </w:r>
      <w:r w:rsidRPr="00CD60CA">
        <w:rPr>
          <w:rFonts w:ascii="Titillium" w:hAnsi="Titillium" w:cs="Calibri"/>
          <w:sz w:val="18"/>
          <w:szCs w:val="18"/>
        </w:rPr>
        <w:t>previsto dalla</w:t>
      </w:r>
      <w:r w:rsidRPr="0043025A">
        <w:rPr>
          <w:rFonts w:ascii="Titillium" w:hAnsi="Titillium" w:cs="Calibri"/>
          <w:sz w:val="18"/>
          <w:szCs w:val="18"/>
        </w:rPr>
        <w:t xml:space="preserve"> legge in favore dell’Autorità Nazionale Ant</w:t>
      </w:r>
      <w:r w:rsidR="003D7007" w:rsidRPr="0043025A">
        <w:rPr>
          <w:rFonts w:ascii="Titillium" w:hAnsi="Titillium" w:cs="Calibri"/>
          <w:sz w:val="18"/>
          <w:szCs w:val="18"/>
        </w:rPr>
        <w:t xml:space="preserve">icorruzione </w:t>
      </w:r>
      <w:r w:rsidRPr="0043025A">
        <w:rPr>
          <w:rFonts w:ascii="Titillium" w:hAnsi="Titillium" w:cs="Calibri"/>
          <w:sz w:val="18"/>
          <w:szCs w:val="18"/>
        </w:rPr>
        <w:t xml:space="preserve">secondo le modalità di cui alla delibera ANAC n. </w:t>
      </w:r>
      <w:r w:rsidR="0043025A" w:rsidRPr="0043025A">
        <w:rPr>
          <w:rFonts w:ascii="Titillium" w:hAnsi="Titillium" w:cs="Calibri"/>
          <w:sz w:val="18"/>
          <w:szCs w:val="18"/>
        </w:rPr>
        <w:t>5</w:t>
      </w:r>
      <w:r w:rsidR="006C6890">
        <w:rPr>
          <w:rFonts w:ascii="Titillium" w:hAnsi="Titillium" w:cs="Calibri"/>
          <w:sz w:val="18"/>
          <w:szCs w:val="18"/>
        </w:rPr>
        <w:t>24</w:t>
      </w:r>
      <w:r w:rsidR="006872BE" w:rsidRPr="0043025A">
        <w:rPr>
          <w:rFonts w:ascii="Titillium" w:hAnsi="Titillium" w:cs="Calibri"/>
          <w:bCs/>
          <w:sz w:val="18"/>
          <w:szCs w:val="18"/>
          <w:lang w:val="x-none"/>
        </w:rPr>
        <w:t xml:space="preserve"> del </w:t>
      </w:r>
      <w:r w:rsidR="006C6890">
        <w:rPr>
          <w:rFonts w:ascii="Titillium" w:hAnsi="Titillium" w:cs="Calibri"/>
          <w:bCs/>
          <w:sz w:val="18"/>
          <w:szCs w:val="18"/>
        </w:rPr>
        <w:t>22/12/2025</w:t>
      </w:r>
      <w:r w:rsidR="006872BE" w:rsidRPr="0043025A">
        <w:rPr>
          <w:rFonts w:ascii="Titillium" w:hAnsi="Titillium" w:cs="Calibri"/>
          <w:bCs/>
          <w:sz w:val="18"/>
          <w:szCs w:val="18"/>
          <w:lang w:val="x-none"/>
        </w:rPr>
        <w:t>.</w:t>
      </w:r>
      <w:r w:rsidR="00D24912" w:rsidRPr="0043025A">
        <w:rPr>
          <w:rFonts w:ascii="Titillium" w:hAnsi="Titillium" w:cs="Calibri"/>
          <w:bCs/>
          <w:sz w:val="18"/>
          <w:szCs w:val="18"/>
        </w:rPr>
        <w:t xml:space="preserve"> </w:t>
      </w:r>
    </w:p>
    <w:p w14:paraId="091BBAD4" w14:textId="77777777" w:rsidR="00E76F65" w:rsidRPr="0058645F" w:rsidRDefault="00E76F65" w:rsidP="00E76F65">
      <w:pPr>
        <w:shd w:val="clear" w:color="auto" w:fill="DEEAF6" w:themeFill="accent1" w:themeFillTint="33"/>
        <w:spacing w:before="60" w:after="60"/>
        <w:rPr>
          <w:rFonts w:ascii="Titillium" w:hAnsi="Titillium"/>
          <w:b/>
          <w:iCs/>
          <w:sz w:val="18"/>
          <w:szCs w:val="18"/>
        </w:rPr>
      </w:pPr>
      <w:bookmarkStart w:id="1631" w:name="_Ref498595281"/>
      <w:bookmarkStart w:id="1632" w:name="_Toc89270293"/>
      <w:r w:rsidRPr="0058645F">
        <w:rPr>
          <w:rFonts w:ascii="Titillium" w:hAnsi="Titillium"/>
          <w:b/>
          <w:iCs/>
          <w:sz w:val="18"/>
          <w:szCs w:val="18"/>
        </w:rPr>
        <w:t xml:space="preserve">Il pagamento del contributo è condizione di ammissibilità dell’offerta. </w:t>
      </w:r>
    </w:p>
    <w:p w14:paraId="07DB12BD" w14:textId="77777777" w:rsidR="00E76F65" w:rsidRPr="0058645F" w:rsidRDefault="00E76F65" w:rsidP="00E76F65">
      <w:pPr>
        <w:shd w:val="clear" w:color="auto" w:fill="DEEAF6" w:themeFill="accent1" w:themeFillTint="33"/>
        <w:spacing w:before="60" w:after="60"/>
        <w:rPr>
          <w:rFonts w:ascii="Calibri" w:hAnsi="Calibri" w:cs="Calibri"/>
        </w:rPr>
      </w:pPr>
      <w:r w:rsidRPr="0058645F">
        <w:rPr>
          <w:rFonts w:ascii="Titillium" w:hAnsi="Titillium"/>
          <w:b/>
          <w:iCs/>
          <w:sz w:val="18"/>
          <w:szCs w:val="18"/>
        </w:rPr>
        <w:t xml:space="preserve">Il pagamento è verificato prima della valutazione dell’offerta, anche in caso di inversione procedimentale. Qualora il pagamento non risulti dal sistema, la stazione appaltante può richiedere, mediante soccorso istruttorio, la regolarizzazione del pagamento. In caso di mancata regolarizzazione nel termine assegnato, l’offerta è dichiarata inammissibile. </w:t>
      </w:r>
    </w:p>
    <w:p w14:paraId="7A6A8737" w14:textId="77777777" w:rsidR="00E76F65" w:rsidRPr="0058645F" w:rsidRDefault="00E76F65" w:rsidP="00E76F65">
      <w:pPr>
        <w:spacing w:before="60" w:after="60"/>
        <w:rPr>
          <w:rFonts w:ascii="Calibri" w:hAnsi="Calibri" w:cs="Calibri"/>
          <w:sz w:val="18"/>
          <w:szCs w:val="18"/>
        </w:rPr>
      </w:pPr>
      <w:r w:rsidRPr="0058645F">
        <w:rPr>
          <w:rFonts w:ascii="Calibri" w:hAnsi="Calibri" w:cs="Calibri"/>
          <w:sz w:val="18"/>
          <w:szCs w:val="18"/>
        </w:rPr>
        <w:t xml:space="preserve">Le indicazioni operative sulle modalità di pagamento del contributo sono disponibili sul sito dell’Autorità Nazionale Anticorruzione al seguente link: </w:t>
      </w:r>
      <w:hyperlink r:id="rId19" w:history="1">
        <w:r w:rsidRPr="0058645F">
          <w:rPr>
            <w:rStyle w:val="Collegamentoipertestuale"/>
            <w:rFonts w:ascii="Calibri" w:hAnsi="Calibri" w:cs="Calibri"/>
            <w:sz w:val="18"/>
            <w:szCs w:val="18"/>
          </w:rPr>
          <w:t>https://www.anticorruzione.it/-/portale-dei-pagamenti-di-anac</w:t>
        </w:r>
      </w:hyperlink>
      <w:r w:rsidRPr="0058645F">
        <w:rPr>
          <w:rFonts w:ascii="Calibri" w:hAnsi="Calibri" w:cs="Calibri"/>
          <w:sz w:val="18"/>
          <w:szCs w:val="18"/>
        </w:rPr>
        <w:t xml:space="preserve"> </w:t>
      </w:r>
    </w:p>
    <w:p w14:paraId="63D24FC6" w14:textId="77777777" w:rsidR="00E76F65" w:rsidRPr="0058645F" w:rsidRDefault="00E76F65" w:rsidP="00E76F65">
      <w:pPr>
        <w:spacing w:before="60" w:after="60"/>
        <w:rPr>
          <w:rFonts w:ascii="Calibri" w:hAnsi="Calibri" w:cs="Calibri"/>
        </w:rPr>
      </w:pPr>
      <w:r w:rsidRPr="0058645F">
        <w:rPr>
          <w:rFonts w:ascii="Calibri" w:hAnsi="Calibri" w:cs="Calibri"/>
          <w:sz w:val="18"/>
          <w:szCs w:val="18"/>
        </w:rPr>
        <w:t>L'importo del contributo è calcolato sul valore stimato d'appalto comprensivo delle eventuali opzioni contrattuali previste nella documentazione di gara.</w:t>
      </w:r>
    </w:p>
    <w:p w14:paraId="164B5671" w14:textId="77777777" w:rsidR="00E76F65" w:rsidRPr="00EA57ED" w:rsidRDefault="00E76F65" w:rsidP="00E76F65">
      <w:pPr>
        <w:autoSpaceDE w:val="0"/>
        <w:autoSpaceDN w:val="0"/>
        <w:adjustRightInd w:val="0"/>
        <w:spacing w:before="80" w:line="240" w:lineRule="auto"/>
        <w:rPr>
          <w:rFonts w:ascii="Titillium" w:hAnsi="Titillium" w:cs="Calibri"/>
          <w:sz w:val="18"/>
          <w:szCs w:val="18"/>
        </w:rPr>
      </w:pPr>
      <w:r w:rsidRPr="00EA57ED">
        <w:rPr>
          <w:rFonts w:ascii="Titillium" w:hAnsi="Titillium" w:cs="Calibri"/>
          <w:sz w:val="18"/>
          <w:szCs w:val="18"/>
        </w:rPr>
        <w:t>Il pagamento dovrà essere effettuato tramite il sistema pagoPA, il servizio che permette di pagare gli avvisi di pagamento pagoPA (identificati dallo IUV, Identificativo Univoco Versamento), generati attraverso il servizio</w:t>
      </w:r>
      <w:r w:rsidRPr="0058645F">
        <w:rPr>
          <w:rFonts w:ascii="Calibri" w:eastAsia="Tahoma" w:hAnsi="Calibri" w:cs="Calibri"/>
          <w:bCs/>
          <w:sz w:val="20"/>
          <w:szCs w:val="20"/>
          <w:lang w:eastAsia="it-IT" w:bidi="it-IT"/>
        </w:rPr>
        <w:t xml:space="preserve"> </w:t>
      </w:r>
      <w:r w:rsidRPr="00EA57ED">
        <w:rPr>
          <w:rFonts w:ascii="Titillium" w:hAnsi="Titillium" w:cs="Calibri"/>
          <w:sz w:val="18"/>
          <w:szCs w:val="18"/>
        </w:rPr>
        <w:t>disponibile sul Portale Pagamenti ANAC al link</w:t>
      </w:r>
      <w:r w:rsidRPr="0058645F">
        <w:rPr>
          <w:rFonts w:ascii="Calibri" w:eastAsia="Tahoma" w:hAnsi="Calibri" w:cs="Calibri"/>
          <w:bCs/>
          <w:sz w:val="20"/>
          <w:szCs w:val="20"/>
          <w:lang w:eastAsia="it-IT" w:bidi="it-IT"/>
        </w:rPr>
        <w:t xml:space="preserve">: </w:t>
      </w:r>
      <w:hyperlink r:id="rId20" w:history="1">
        <w:r w:rsidRPr="0058645F">
          <w:rPr>
            <w:rFonts w:ascii="Calibri" w:eastAsia="Tahoma" w:hAnsi="Calibri" w:cs="Calibri"/>
            <w:bCs/>
            <w:color w:val="0000FF"/>
            <w:sz w:val="20"/>
            <w:szCs w:val="20"/>
            <w:u w:val="single"/>
            <w:lang w:eastAsia="it-IT" w:bidi="it-IT"/>
          </w:rPr>
          <w:t>https://servizi.anticorruzione.it/hub-gcg/</w:t>
        </w:r>
      </w:hyperlink>
      <w:r w:rsidRPr="0058645F">
        <w:rPr>
          <w:rFonts w:ascii="Calibri" w:eastAsia="Tahoma" w:hAnsi="Calibri" w:cs="Calibri"/>
          <w:bCs/>
          <w:sz w:val="20"/>
          <w:szCs w:val="20"/>
          <w:lang w:eastAsia="it-IT" w:bidi="it-IT"/>
        </w:rPr>
        <w:t xml:space="preserve"> , </w:t>
      </w:r>
      <w:r w:rsidRPr="00EA57ED">
        <w:rPr>
          <w:rFonts w:ascii="Titillium" w:hAnsi="Titillium" w:cs="Calibri"/>
          <w:sz w:val="18"/>
          <w:szCs w:val="18"/>
        </w:rPr>
        <w:t xml:space="preserve">attraverso le seguenti modalità di pagamento: </w:t>
      </w:r>
    </w:p>
    <w:p w14:paraId="633FFC06" w14:textId="77777777" w:rsidR="00E76F65" w:rsidRPr="00F2328A" w:rsidRDefault="00E76F65" w:rsidP="00E76F65">
      <w:pPr>
        <w:tabs>
          <w:tab w:val="left" w:pos="360"/>
        </w:tabs>
        <w:spacing w:before="60" w:after="60"/>
        <w:rPr>
          <w:rFonts w:ascii="Titillium" w:hAnsi="Titillium" w:cs="Calibri"/>
          <w:bCs/>
          <w:iCs/>
          <w:sz w:val="18"/>
          <w:szCs w:val="18"/>
        </w:rPr>
      </w:pPr>
      <w:r w:rsidRPr="00F2328A">
        <w:rPr>
          <w:rFonts w:ascii="Titillium" w:hAnsi="Titillium" w:cs="Calibri"/>
          <w:bCs/>
          <w:iCs/>
          <w:sz w:val="18"/>
          <w:szCs w:val="18"/>
        </w:rPr>
        <w:t xml:space="preserve">a) "Pagamento on line" mediante il nuovo Portale dei pagamenti dell’A.N.AC., scegliendo tra i canali di pagamento disponibili sul sistema pagoPA. </w:t>
      </w:r>
    </w:p>
    <w:p w14:paraId="28B45D41" w14:textId="77777777" w:rsidR="00E76F65" w:rsidRPr="00F2328A" w:rsidRDefault="00E76F65" w:rsidP="00E76F65">
      <w:pPr>
        <w:tabs>
          <w:tab w:val="left" w:pos="360"/>
        </w:tabs>
        <w:spacing w:before="60" w:after="60"/>
        <w:rPr>
          <w:rFonts w:ascii="Titillium" w:hAnsi="Titillium" w:cs="Calibri"/>
          <w:bCs/>
          <w:iCs/>
          <w:sz w:val="18"/>
          <w:szCs w:val="18"/>
        </w:rPr>
      </w:pPr>
      <w:r w:rsidRPr="00F2328A">
        <w:rPr>
          <w:rFonts w:ascii="Titillium" w:hAnsi="Titillium" w:cs="Calibri"/>
          <w:bCs/>
          <w:iCs/>
          <w:sz w:val="18"/>
          <w:szCs w:val="18"/>
        </w:rPr>
        <w:t>b)"Pagamento mediante avviso" utilizzando:</w:t>
      </w:r>
    </w:p>
    <w:p w14:paraId="2A6A4FBF" w14:textId="77777777" w:rsidR="00E76F65" w:rsidRPr="00EA57ED" w:rsidRDefault="00E76F65" w:rsidP="00E76F65">
      <w:pPr>
        <w:autoSpaceDE w:val="0"/>
        <w:autoSpaceDN w:val="0"/>
        <w:adjustRightInd w:val="0"/>
        <w:spacing w:before="80" w:line="240" w:lineRule="auto"/>
        <w:ind w:left="142"/>
        <w:rPr>
          <w:rFonts w:ascii="Titillium" w:hAnsi="Titillium" w:cs="Calibri"/>
          <w:sz w:val="18"/>
          <w:szCs w:val="18"/>
        </w:rPr>
      </w:pPr>
      <w:r w:rsidRPr="00F2328A">
        <w:rPr>
          <w:rFonts w:ascii="Titillium" w:hAnsi="Titillium" w:cs="Calibri"/>
          <w:bCs/>
          <w:iCs/>
          <w:sz w:val="18"/>
          <w:szCs w:val="18"/>
        </w:rPr>
        <w:t>- infrastrutture</w:t>
      </w:r>
      <w:r w:rsidRPr="00EA57ED">
        <w:rPr>
          <w:rFonts w:ascii="Titillium" w:hAnsi="Titillium" w:cs="Calibri"/>
          <w:sz w:val="18"/>
          <w:szCs w:val="18"/>
        </w:rPr>
        <w:t xml:space="preserve"> messe a disposizione da un Prestatore dei Servizi di Pagamento (PSP) abilitato a pagoPA (sportelli ATM, applicazioni di home banking - servizio CBILL e di mobile payment, punti della rete di vendita dei generi di monopolio - tabaccai, SISAL e Lottomatica, casse predisposte presso la Grande Distribuzione Organizzata, ecc.);</w:t>
      </w:r>
    </w:p>
    <w:p w14:paraId="4B8210A7" w14:textId="77777777" w:rsidR="00E76F65" w:rsidRPr="00EA57ED" w:rsidRDefault="00E76F65" w:rsidP="00E76F65">
      <w:pPr>
        <w:autoSpaceDE w:val="0"/>
        <w:autoSpaceDN w:val="0"/>
        <w:adjustRightInd w:val="0"/>
        <w:spacing w:before="80" w:line="240" w:lineRule="auto"/>
        <w:ind w:left="142"/>
        <w:rPr>
          <w:rFonts w:ascii="Titillium" w:hAnsi="Titillium" w:cs="Calibri"/>
          <w:sz w:val="18"/>
          <w:szCs w:val="18"/>
        </w:rPr>
      </w:pPr>
      <w:r w:rsidRPr="00EA57ED">
        <w:rPr>
          <w:rFonts w:ascii="Titillium" w:hAnsi="Titillium" w:cs="Calibri"/>
          <w:sz w:val="18"/>
          <w:szCs w:val="18"/>
        </w:rPr>
        <w:t xml:space="preserve">- IO, l'app dei servizi pubblici integrata con pagoPA, semplicemente inquadrando il QR code dell'avviso. </w:t>
      </w:r>
    </w:p>
    <w:p w14:paraId="57C5AE55" w14:textId="77777777" w:rsidR="00E76F65" w:rsidRDefault="00E76F65" w:rsidP="00E76F65">
      <w:pPr>
        <w:tabs>
          <w:tab w:val="left" w:pos="360"/>
        </w:tabs>
        <w:spacing w:before="60" w:after="60"/>
        <w:rPr>
          <w:rFonts w:ascii="Titillium" w:hAnsi="Titillium" w:cs="Calibri"/>
          <w:bCs/>
          <w:iCs/>
          <w:sz w:val="18"/>
          <w:szCs w:val="18"/>
        </w:rPr>
      </w:pPr>
      <w:r w:rsidRPr="00EA57ED">
        <w:rPr>
          <w:rFonts w:ascii="Titillium" w:hAnsi="Titillium" w:cs="Calibri"/>
          <w:bCs/>
          <w:iCs/>
          <w:sz w:val="18"/>
          <w:szCs w:val="18"/>
        </w:rPr>
        <w:t>Per entrambe le modalità sopra descritte, le ricevute di pagamento saranno disponibili nella sezione “Pagamenti effettuati” del Portale dei pagamenti dell’A.N.AC., a conclusione dell'operazione di pagamento con esito positivo e alla ricezione, da parte dell’Autorità, della ricevuta telematica inviata dai PSP.</w:t>
      </w:r>
    </w:p>
    <w:p w14:paraId="55BDE0A6" w14:textId="77777777" w:rsidR="00E76F65" w:rsidRPr="00EA57ED" w:rsidRDefault="00E76F65" w:rsidP="00E76F65">
      <w:pPr>
        <w:tabs>
          <w:tab w:val="left" w:pos="360"/>
        </w:tabs>
        <w:spacing w:before="60" w:after="60"/>
        <w:rPr>
          <w:rFonts w:ascii="Titillium" w:hAnsi="Titillium" w:cs="Calibri"/>
          <w:bCs/>
          <w:iCs/>
          <w:sz w:val="18"/>
          <w:szCs w:val="18"/>
        </w:rPr>
      </w:pPr>
      <w:r w:rsidRPr="00EA57ED">
        <w:rPr>
          <w:rFonts w:ascii="Titillium" w:hAnsi="Titillium" w:cs="Calibri"/>
          <w:bCs/>
          <w:iCs/>
          <w:sz w:val="18"/>
          <w:szCs w:val="18"/>
        </w:rPr>
        <w:t xml:space="preserve">Nel caso di Raggruppamenti temporanei di imprese, sia già costituiti che non ancora costituiti, il versamento è unico ed è effettuato dalla capogruppo. </w:t>
      </w:r>
    </w:p>
    <w:p w14:paraId="70601E1D" w14:textId="77777777" w:rsidR="00E76F65" w:rsidRPr="00EA57ED" w:rsidRDefault="00E76F65" w:rsidP="00E76F65">
      <w:pPr>
        <w:tabs>
          <w:tab w:val="left" w:pos="360"/>
        </w:tabs>
        <w:spacing w:before="60" w:after="60"/>
        <w:rPr>
          <w:rFonts w:ascii="Titillium" w:hAnsi="Titillium" w:cs="Calibri"/>
          <w:bCs/>
          <w:iCs/>
          <w:sz w:val="18"/>
          <w:szCs w:val="18"/>
        </w:rPr>
      </w:pPr>
      <w:r w:rsidRPr="00EA57ED">
        <w:rPr>
          <w:rFonts w:ascii="Titillium" w:hAnsi="Titillium" w:cs="Calibri"/>
          <w:bCs/>
          <w:iCs/>
          <w:sz w:val="18"/>
          <w:szCs w:val="18"/>
        </w:rPr>
        <w:t>Nel caso di Consorzio stabile, il versamento deve essere eseguito dal consorzio. In caso di consorzio ordinario si applica quanto detto sopra in caso di R.T.I.</w:t>
      </w:r>
    </w:p>
    <w:p w14:paraId="74CF3E15" w14:textId="53395717" w:rsidR="004C53A8" w:rsidRDefault="00870286" w:rsidP="008300A5">
      <w:pPr>
        <w:pStyle w:val="Titolo2"/>
        <w:numPr>
          <w:ilvl w:val="0"/>
          <w:numId w:val="3"/>
        </w:numPr>
        <w:ind w:left="357" w:hanging="357"/>
      </w:pPr>
      <w:r>
        <w:rPr>
          <w:rFonts w:ascii="Titillium" w:hAnsi="Titillium"/>
          <w:sz w:val="18"/>
          <w:szCs w:val="18"/>
        </w:rPr>
        <w:t>MODALIT</w:t>
      </w:r>
      <w:r>
        <w:rPr>
          <w:rFonts w:ascii="Titillium" w:hAnsi="Titillium"/>
          <w:caps w:val="0"/>
          <w:sz w:val="18"/>
          <w:szCs w:val="18"/>
          <w:lang w:val="it-IT"/>
        </w:rPr>
        <w:t>À</w:t>
      </w:r>
      <w:r>
        <w:rPr>
          <w:rFonts w:ascii="Titillium" w:hAnsi="Titillium"/>
          <w:sz w:val="18"/>
          <w:szCs w:val="18"/>
        </w:rPr>
        <w:t xml:space="preserve"> DI </w:t>
      </w:r>
      <w:r>
        <w:rPr>
          <w:rFonts w:ascii="Titillium" w:hAnsi="Titillium"/>
          <w:caps w:val="0"/>
          <w:sz w:val="18"/>
          <w:szCs w:val="18"/>
        </w:rPr>
        <w:t>PRESENTAZIONE</w:t>
      </w:r>
      <w:r>
        <w:rPr>
          <w:rFonts w:ascii="Titillium" w:hAnsi="Titillium"/>
          <w:caps w:val="0"/>
          <w:sz w:val="18"/>
          <w:szCs w:val="18"/>
          <w:lang w:val="it-IT"/>
        </w:rPr>
        <w:t xml:space="preserve"> DELL’OFFERTA E SOTTOSCRIZIONE DEI DOCUMENTI DI GARA</w:t>
      </w:r>
      <w:bookmarkEnd w:id="1631"/>
      <w:bookmarkEnd w:id="1632"/>
      <w:r>
        <w:rPr>
          <w:rFonts w:ascii="Titillium" w:hAnsi="Titillium"/>
          <w:caps w:val="0"/>
          <w:sz w:val="18"/>
          <w:szCs w:val="18"/>
          <w:lang w:val="it-IT"/>
        </w:rPr>
        <w:t xml:space="preserve"> </w:t>
      </w:r>
    </w:p>
    <w:p w14:paraId="77692EEC" w14:textId="539CDA7D" w:rsidR="00D24912" w:rsidRDefault="005543D8">
      <w:pPr>
        <w:tabs>
          <w:tab w:val="left" w:pos="360"/>
        </w:tabs>
        <w:spacing w:before="60" w:after="60"/>
        <w:rPr>
          <w:rFonts w:ascii="Titillium" w:hAnsi="Titillium" w:cs="Calibri"/>
          <w:sz w:val="18"/>
          <w:szCs w:val="18"/>
        </w:rPr>
      </w:pPr>
      <w:r w:rsidRPr="005543D8">
        <w:rPr>
          <w:rFonts w:ascii="Titillium" w:hAnsi="Titillium" w:cs="Calibri"/>
          <w:bCs/>
          <w:iCs/>
          <w:sz w:val="18"/>
          <w:szCs w:val="18"/>
        </w:rPr>
        <w:t>L’offerta e la documentazione relativa alla procedura devono essere presentate esclusivamente attraverso la PAD</w:t>
      </w:r>
      <w:r>
        <w:rPr>
          <w:rFonts w:ascii="Titillium" w:hAnsi="Titillium" w:cs="Calibri"/>
          <w:bCs/>
          <w:iCs/>
          <w:sz w:val="18"/>
          <w:szCs w:val="18"/>
        </w:rPr>
        <w:t xml:space="preserve"> </w:t>
      </w:r>
      <w:r w:rsidR="003D7007">
        <w:rPr>
          <w:rFonts w:ascii="Titillium" w:hAnsi="Titillium" w:cs="Calibri"/>
          <w:sz w:val="18"/>
          <w:szCs w:val="18"/>
        </w:rPr>
        <w:t>Piattaforma</w:t>
      </w:r>
      <w:r w:rsidR="00642A86">
        <w:rPr>
          <w:rFonts w:ascii="Titillium" w:hAnsi="Titillium" w:cs="Calibri"/>
          <w:sz w:val="18"/>
          <w:szCs w:val="18"/>
        </w:rPr>
        <w:t xml:space="preserve"> SATER</w:t>
      </w:r>
      <w:r w:rsidR="00F011D7">
        <w:rPr>
          <w:rFonts w:ascii="Titillium" w:hAnsi="Titillium" w:cs="Calibri"/>
          <w:sz w:val="18"/>
          <w:szCs w:val="18"/>
        </w:rPr>
        <w:t xml:space="preserve">. </w:t>
      </w:r>
    </w:p>
    <w:p w14:paraId="416BED47" w14:textId="328900AA" w:rsidR="008C29E0" w:rsidRPr="008C29E0" w:rsidRDefault="008C29E0" w:rsidP="008C29E0">
      <w:pPr>
        <w:tabs>
          <w:tab w:val="left" w:pos="360"/>
        </w:tabs>
        <w:spacing w:before="60" w:after="60"/>
        <w:rPr>
          <w:rFonts w:ascii="Titillium" w:hAnsi="Titillium" w:cs="Calibri"/>
          <w:sz w:val="18"/>
          <w:szCs w:val="18"/>
        </w:rPr>
      </w:pPr>
      <w:r w:rsidRPr="008C29E0">
        <w:rPr>
          <w:rFonts w:ascii="Titillium" w:hAnsi="Titillium" w:cs="Calibri"/>
          <w:sz w:val="18"/>
          <w:szCs w:val="18"/>
        </w:rPr>
        <w:lastRenderedPageBreak/>
        <w:t>Non sono considerate valide le offerte presentate attraverso modalità diverse da quelle previste nel presente disciplinare</w:t>
      </w:r>
      <w:r w:rsidR="00AA6864">
        <w:rPr>
          <w:rFonts w:ascii="Titillium" w:hAnsi="Titillium" w:cs="Calibri"/>
          <w:sz w:val="18"/>
          <w:szCs w:val="18"/>
        </w:rPr>
        <w:t xml:space="preserve">. </w:t>
      </w:r>
      <w:r w:rsidRPr="008C29E0">
        <w:rPr>
          <w:rFonts w:ascii="Titillium" w:hAnsi="Titillium" w:cs="Calibri"/>
          <w:sz w:val="18"/>
          <w:szCs w:val="18"/>
        </w:rPr>
        <w:t xml:space="preserve">L’offerta </w:t>
      </w:r>
      <w:r w:rsidRPr="008C29E0">
        <w:rPr>
          <w:rFonts w:ascii="Titillium" w:hAnsi="Titillium" w:cs="Calibri"/>
          <w:b/>
          <w:sz w:val="18"/>
          <w:szCs w:val="18"/>
        </w:rPr>
        <w:t>(documentazione amministrativa, offerta tecnica e offerta economica)</w:t>
      </w:r>
      <w:r w:rsidRPr="008C29E0">
        <w:rPr>
          <w:rFonts w:ascii="Titillium" w:hAnsi="Titillium" w:cs="Calibri"/>
          <w:sz w:val="18"/>
          <w:szCs w:val="18"/>
        </w:rPr>
        <w:t xml:space="preserve"> </w:t>
      </w:r>
      <w:r w:rsidRPr="008C29E0">
        <w:rPr>
          <w:rFonts w:ascii="Titillium" w:hAnsi="Titillium" w:cs="Calibri"/>
          <w:bCs/>
          <w:iCs/>
          <w:sz w:val="18"/>
          <w:szCs w:val="18"/>
        </w:rPr>
        <w:t>deve essere sottoscritta con firma digitale o altra firma elettronica qualificata o firma elettronica avanzata.</w:t>
      </w:r>
    </w:p>
    <w:p w14:paraId="62CB43A6" w14:textId="77777777" w:rsidR="00855434" w:rsidRPr="00855434" w:rsidRDefault="00855434" w:rsidP="00855434">
      <w:pPr>
        <w:tabs>
          <w:tab w:val="left" w:pos="360"/>
        </w:tabs>
        <w:spacing w:before="60" w:after="60"/>
        <w:rPr>
          <w:rFonts w:ascii="Titillium" w:hAnsi="Titillium" w:cs="Calibri"/>
          <w:bCs/>
          <w:iCs/>
          <w:sz w:val="18"/>
          <w:szCs w:val="18"/>
        </w:rPr>
      </w:pPr>
      <w:r w:rsidRPr="00855434">
        <w:rPr>
          <w:rFonts w:ascii="Titillium" w:hAnsi="Titillium" w:cs="Calibri"/>
          <w:bCs/>
          <w:iCs/>
          <w:sz w:val="18"/>
          <w:szCs w:val="18"/>
        </w:rPr>
        <w:t>Qualora le dichiarazioni e/o le attestazioni e/o l’offerta economica siano sottoscritte da un procuratore (generale o speciale), il concorrente allega sul SATER anche copia della procura oppure del verbale di conferimento che attesti i poteri del sottoscrittore e gli estremi dell’atto notarile oppure nel solo caso in cui dalla visura camerale del concorrente risulti l’indicazione espressa dei poteri rappresentativi conferiti con la procura, la dichiarazione sostitutiva resa dal procuratore attestante la sussistenza dei poteri rappresentativi risultanti dalla visura ovvero copia della visura camerale. L’Amministrazione si riserva di richiedere al concorrente, in ogni momento della procedura, la consegna di una copia autentica o copia conforme all’originale della procura; nella relativa richiesta verranno fissati il termine e le modalità per l’invio della documentazione richiesta.</w:t>
      </w:r>
    </w:p>
    <w:p w14:paraId="2AEF20F5" w14:textId="77777777" w:rsidR="00855434" w:rsidRDefault="00855434" w:rsidP="00855434">
      <w:pPr>
        <w:tabs>
          <w:tab w:val="left" w:pos="360"/>
        </w:tabs>
        <w:spacing w:before="60" w:after="60"/>
        <w:rPr>
          <w:rFonts w:ascii="Titillium" w:hAnsi="Titillium" w:cs="Calibri"/>
          <w:bCs/>
          <w:iCs/>
          <w:sz w:val="18"/>
          <w:szCs w:val="18"/>
        </w:rPr>
      </w:pPr>
      <w:r w:rsidRPr="00855434">
        <w:rPr>
          <w:rFonts w:ascii="Titillium" w:hAnsi="Titillium" w:cs="Calibri"/>
          <w:bCs/>
          <w:iCs/>
          <w:sz w:val="18"/>
          <w:szCs w:val="18"/>
        </w:rPr>
        <w:t xml:space="preserve">Le dichiarazioni sostitutive si redigono ai sensi degli articoli 19, 46 e 47 del decreto del Presidente della Repubblica n.  445/2000. </w:t>
      </w:r>
    </w:p>
    <w:p w14:paraId="72D59ADA" w14:textId="77777777" w:rsidR="00855434" w:rsidRPr="00855434" w:rsidRDefault="00855434" w:rsidP="00855434">
      <w:pPr>
        <w:spacing w:before="60" w:after="60"/>
      </w:pPr>
      <w:r w:rsidRPr="00855434">
        <w:rPr>
          <w:rFonts w:ascii="Titillium" w:hAnsi="Titillium" w:cs="Calibri"/>
          <w:sz w:val="18"/>
          <w:szCs w:val="18"/>
        </w:rPr>
        <w:t xml:space="preserve">La documentazione presentata in copia viene prodotta ai sensi del decreto legislativo n. 82/05. </w:t>
      </w:r>
    </w:p>
    <w:p w14:paraId="07A2941C" w14:textId="77777777" w:rsidR="00855434" w:rsidRPr="00855434" w:rsidRDefault="00855434" w:rsidP="00855434">
      <w:pPr>
        <w:tabs>
          <w:tab w:val="left" w:pos="360"/>
        </w:tabs>
        <w:spacing w:before="60" w:after="60"/>
        <w:rPr>
          <w:rFonts w:ascii="Titillium" w:hAnsi="Titillium" w:cs="Calibri"/>
          <w:b/>
          <w:sz w:val="20"/>
          <w:szCs w:val="20"/>
        </w:rPr>
      </w:pPr>
      <w:r w:rsidRPr="00855434">
        <w:rPr>
          <w:rFonts w:ascii="Titillium" w:hAnsi="Titillium" w:cs="Calibri"/>
          <w:b/>
          <w:bCs/>
          <w:iCs/>
          <w:sz w:val="20"/>
          <w:szCs w:val="20"/>
        </w:rPr>
        <w:t>L’offerta deve pervenire</w:t>
      </w:r>
      <w:r w:rsidRPr="00855434">
        <w:rPr>
          <w:rFonts w:ascii="Titillium" w:hAnsi="Titillium" w:cs="Calibri"/>
          <w:b/>
          <w:sz w:val="20"/>
          <w:szCs w:val="20"/>
        </w:rPr>
        <w:t xml:space="preserve"> entro e non oltre </w:t>
      </w:r>
    </w:p>
    <w:p w14:paraId="0318B3D8" w14:textId="74454FD1" w:rsidR="00855434" w:rsidRPr="00D807DB" w:rsidRDefault="00855434" w:rsidP="00D807DB">
      <w:pPr>
        <w:suppressAutoHyphens/>
        <w:spacing w:before="123" w:line="240" w:lineRule="auto"/>
        <w:ind w:left="113" w:right="-170"/>
        <w:jc w:val="center"/>
        <w:rPr>
          <w:rFonts w:ascii="Calibri" w:eastAsia="Tahoma" w:hAnsi="Calibri" w:cs="Calibri"/>
          <w:b/>
          <w:color w:val="0000FF"/>
          <w:sz w:val="20"/>
          <w:szCs w:val="20"/>
          <w:highlight w:val="lightGray"/>
          <w:lang w:eastAsia="it-IT" w:bidi="it-IT"/>
        </w:rPr>
      </w:pPr>
      <w:r w:rsidRPr="00D807DB">
        <w:rPr>
          <w:rFonts w:ascii="Calibri" w:eastAsia="Tahoma" w:hAnsi="Calibri" w:cs="Calibri"/>
          <w:b/>
          <w:color w:val="0000FF"/>
          <w:sz w:val="20"/>
          <w:szCs w:val="20"/>
          <w:highlight w:val="lightGray"/>
          <w:lang w:eastAsia="it-IT" w:bidi="it-IT"/>
        </w:rPr>
        <w:t xml:space="preserve">le ore </w:t>
      </w:r>
      <w:r w:rsidR="00A45320" w:rsidRPr="00D807DB">
        <w:rPr>
          <w:rFonts w:ascii="Calibri" w:eastAsia="Tahoma" w:hAnsi="Calibri" w:cs="Calibri"/>
          <w:b/>
          <w:color w:val="0000FF"/>
          <w:sz w:val="20"/>
          <w:szCs w:val="20"/>
          <w:highlight w:val="lightGray"/>
          <w:lang w:eastAsia="it-IT" w:bidi="it-IT"/>
        </w:rPr>
        <w:t>XXX</w:t>
      </w:r>
      <w:r w:rsidRPr="00D807DB">
        <w:rPr>
          <w:rFonts w:ascii="Calibri" w:eastAsia="Tahoma" w:hAnsi="Calibri" w:cs="Calibri"/>
          <w:b/>
          <w:color w:val="0000FF"/>
          <w:sz w:val="20"/>
          <w:szCs w:val="20"/>
          <w:highlight w:val="lightGray"/>
          <w:lang w:eastAsia="it-IT" w:bidi="it-IT"/>
        </w:rPr>
        <w:t xml:space="preserve"> del </w:t>
      </w:r>
      <w:r w:rsidR="00A45320" w:rsidRPr="00D807DB">
        <w:rPr>
          <w:rFonts w:ascii="Calibri" w:eastAsia="Tahoma" w:hAnsi="Calibri" w:cs="Calibri"/>
          <w:b/>
          <w:color w:val="0000FF"/>
          <w:sz w:val="20"/>
          <w:szCs w:val="20"/>
          <w:highlight w:val="lightGray"/>
          <w:lang w:eastAsia="it-IT" w:bidi="it-IT"/>
        </w:rPr>
        <w:t>XXX</w:t>
      </w:r>
      <w:r w:rsidR="683597B8" w:rsidRPr="00D807DB">
        <w:rPr>
          <w:rFonts w:ascii="Calibri" w:eastAsia="Tahoma" w:hAnsi="Calibri" w:cs="Calibri"/>
          <w:b/>
          <w:color w:val="0000FF"/>
          <w:sz w:val="20"/>
          <w:szCs w:val="20"/>
          <w:highlight w:val="lightGray"/>
          <w:lang w:eastAsia="it-IT" w:bidi="it-IT"/>
        </w:rPr>
        <w:t>/</w:t>
      </w:r>
      <w:r w:rsidR="00A45320" w:rsidRPr="00D807DB">
        <w:rPr>
          <w:rFonts w:ascii="Calibri" w:eastAsia="Tahoma" w:hAnsi="Calibri" w:cs="Calibri"/>
          <w:b/>
          <w:color w:val="0000FF"/>
          <w:sz w:val="20"/>
          <w:szCs w:val="20"/>
          <w:highlight w:val="lightGray"/>
          <w:lang w:eastAsia="it-IT" w:bidi="it-IT"/>
        </w:rPr>
        <w:t>XXX</w:t>
      </w:r>
      <w:r w:rsidRPr="00D807DB">
        <w:rPr>
          <w:rFonts w:ascii="Calibri" w:eastAsia="Tahoma" w:hAnsi="Calibri" w:cs="Calibri"/>
          <w:b/>
          <w:color w:val="0000FF"/>
          <w:sz w:val="20"/>
          <w:szCs w:val="20"/>
          <w:highlight w:val="lightGray"/>
          <w:lang w:eastAsia="it-IT" w:bidi="it-IT"/>
        </w:rPr>
        <w:t>/2026</w:t>
      </w:r>
    </w:p>
    <w:p w14:paraId="65B80563" w14:textId="77777777" w:rsidR="00855434" w:rsidRPr="00855434" w:rsidRDefault="00855434" w:rsidP="00855434">
      <w:pPr>
        <w:tabs>
          <w:tab w:val="left" w:pos="360"/>
        </w:tabs>
        <w:spacing w:before="60" w:after="60"/>
        <w:jc w:val="center"/>
        <w:rPr>
          <w:rFonts w:ascii="Titillium" w:hAnsi="Titillium" w:cs="Calibri"/>
          <w:sz w:val="20"/>
          <w:szCs w:val="20"/>
        </w:rPr>
      </w:pPr>
    </w:p>
    <w:p w14:paraId="5FB38F57" w14:textId="77777777" w:rsidR="00855434" w:rsidRPr="00855434" w:rsidRDefault="00855434" w:rsidP="00855434">
      <w:pPr>
        <w:tabs>
          <w:tab w:val="left" w:pos="360"/>
        </w:tabs>
        <w:spacing w:before="60" w:after="60"/>
        <w:rPr>
          <w:rFonts w:ascii="Titillium" w:hAnsi="Titillium" w:cs="Calibri"/>
          <w:b/>
          <w:sz w:val="20"/>
          <w:szCs w:val="20"/>
        </w:rPr>
      </w:pPr>
      <w:r w:rsidRPr="00855434">
        <w:rPr>
          <w:rFonts w:ascii="Titillium" w:hAnsi="Titillium" w:cs="Calibri"/>
          <w:b/>
          <w:sz w:val="20"/>
          <w:szCs w:val="20"/>
        </w:rPr>
        <w:t>a pena di irricevibilità</w:t>
      </w:r>
      <w:r w:rsidRPr="00855434">
        <w:rPr>
          <w:rFonts w:ascii="Titillium" w:hAnsi="Titillium"/>
          <w:b/>
          <w:sz w:val="20"/>
          <w:szCs w:val="20"/>
        </w:rPr>
        <w:t>.</w:t>
      </w:r>
      <w:r w:rsidRPr="00855434">
        <w:rPr>
          <w:rFonts w:ascii="Titillium" w:hAnsi="Titillium" w:cs="Calibri"/>
          <w:b/>
          <w:sz w:val="20"/>
          <w:szCs w:val="20"/>
        </w:rPr>
        <w:t xml:space="preserve"> La PAD non accetta offerte presentate dopo la data e l’orario stabiliti come termine ultimo di presentazione dell’offerta.</w:t>
      </w:r>
    </w:p>
    <w:p w14:paraId="068EEE6D" w14:textId="77777777" w:rsidR="00855434" w:rsidRPr="00855434" w:rsidRDefault="00855434" w:rsidP="00855434">
      <w:pPr>
        <w:spacing w:before="60" w:after="60"/>
        <w:rPr>
          <w:b/>
          <w:sz w:val="20"/>
          <w:szCs w:val="20"/>
        </w:rPr>
      </w:pPr>
      <w:r w:rsidRPr="00855434">
        <w:rPr>
          <w:rFonts w:ascii="Titillium" w:hAnsi="Titillium"/>
          <w:b/>
          <w:iCs/>
          <w:sz w:val="20"/>
          <w:szCs w:val="20"/>
        </w:rPr>
        <w:t>Per l’individuazione di</w:t>
      </w:r>
      <w:r w:rsidRPr="00855434">
        <w:rPr>
          <w:rFonts w:ascii="Titillium" w:hAnsi="Titillium" w:cs="Calibri"/>
          <w:b/>
          <w:bCs/>
          <w:iCs/>
          <w:sz w:val="20"/>
          <w:szCs w:val="20"/>
        </w:rPr>
        <w:t xml:space="preserve"> data e ora di arrivo dell’offerta fa fede l’orario registrato dalla PAD.</w:t>
      </w:r>
    </w:p>
    <w:p w14:paraId="345D7BB4" w14:textId="77777777" w:rsidR="00855434" w:rsidRPr="00855434" w:rsidRDefault="00855434" w:rsidP="00855434">
      <w:pPr>
        <w:widowControl w:val="0"/>
        <w:spacing w:before="60" w:after="60" w:line="280" w:lineRule="exact"/>
        <w:rPr>
          <w:rFonts w:ascii="Titillium" w:hAnsi="Titillium" w:cs="Calibri"/>
          <w:color w:val="000000"/>
          <w:sz w:val="18"/>
          <w:szCs w:val="18"/>
        </w:rPr>
      </w:pPr>
      <w:r w:rsidRPr="00855434">
        <w:rPr>
          <w:rFonts w:ascii="Titillium" w:hAnsi="Titillium" w:cs="Calibri"/>
          <w:color w:val="000000"/>
          <w:sz w:val="18"/>
          <w:szCs w:val="18"/>
        </w:rPr>
        <w:t>Le operazioni di inserimento sulla PAD di tutta la documentazione richiesta rimangono ad esclusivo rischio del concorrente.</w:t>
      </w:r>
    </w:p>
    <w:p w14:paraId="015F7366" w14:textId="77777777" w:rsidR="00855434" w:rsidRPr="00855434" w:rsidRDefault="00855434" w:rsidP="00855434">
      <w:pPr>
        <w:widowControl w:val="0"/>
        <w:spacing w:before="60" w:after="60" w:line="280" w:lineRule="exact"/>
        <w:rPr>
          <w:b/>
          <w:color w:val="FF0000"/>
        </w:rPr>
      </w:pPr>
      <w:r w:rsidRPr="00855434">
        <w:rPr>
          <w:rFonts w:ascii="Titillium" w:hAnsi="Titillium" w:cs="Calibri"/>
          <w:b/>
          <w:color w:val="FF0000"/>
          <w:sz w:val="18"/>
          <w:szCs w:val="18"/>
        </w:rPr>
        <w:t>Si invitano pertanto i concorrenti ad avviare tali attività con congruo anticipo rispetto alla scadenza prevista onde evitare la non completa e quindi mancata trasmissione dell’offerta entro il termine previsto.</w:t>
      </w:r>
      <w:r w:rsidRPr="00855434">
        <w:rPr>
          <w:rFonts w:ascii="Titillium" w:hAnsi="Titillium" w:cs="Calibri"/>
          <w:b/>
          <w:bCs/>
          <w:iCs/>
          <w:color w:val="FF0000"/>
          <w:sz w:val="18"/>
          <w:szCs w:val="18"/>
        </w:rPr>
        <w:t xml:space="preserve"> </w:t>
      </w:r>
    </w:p>
    <w:p w14:paraId="45DABCB6" w14:textId="437EAFDE" w:rsidR="00855434" w:rsidRPr="00855434" w:rsidRDefault="00855434" w:rsidP="00855434">
      <w:pPr>
        <w:widowControl w:val="0"/>
        <w:spacing w:before="60" w:after="60" w:line="280" w:lineRule="exact"/>
      </w:pPr>
      <w:r w:rsidRPr="00855434">
        <w:rPr>
          <w:rFonts w:ascii="Titillium" w:hAnsi="Titillium" w:cs="Calibri"/>
          <w:bCs/>
          <w:iCs/>
          <w:sz w:val="18"/>
          <w:szCs w:val="18"/>
        </w:rPr>
        <w:t xml:space="preserve">Qualora si verifichi un mancato funzionamento o un malfunzionamento della PAD si applica quanto previsto al paragrafo </w:t>
      </w:r>
      <w:r w:rsidRPr="00855434">
        <w:rPr>
          <w:rFonts w:ascii="Titillium" w:hAnsi="Titillium" w:cs="Calibri"/>
          <w:bCs/>
          <w:iCs/>
          <w:sz w:val="18"/>
          <w:szCs w:val="18"/>
        </w:rPr>
        <w:fldChar w:fldCharType="begin"/>
      </w:r>
      <w:r w:rsidRPr="00855434">
        <w:rPr>
          <w:rFonts w:ascii="Titillium" w:hAnsi="Titillium" w:cs="Calibri"/>
          <w:bCs/>
          <w:iCs/>
          <w:sz w:val="18"/>
          <w:szCs w:val="18"/>
        </w:rPr>
        <w:instrText xml:space="preserve"> REF _Ref132303729 \r \h  \* MERGEFORMAT </w:instrText>
      </w:r>
      <w:r w:rsidRPr="00855434">
        <w:rPr>
          <w:rFonts w:ascii="Titillium" w:hAnsi="Titillium" w:cs="Calibri"/>
          <w:bCs/>
          <w:iCs/>
          <w:sz w:val="18"/>
          <w:szCs w:val="18"/>
        </w:rPr>
      </w:r>
      <w:r w:rsidRPr="00855434">
        <w:rPr>
          <w:rFonts w:ascii="Titillium" w:hAnsi="Titillium" w:cs="Calibri"/>
          <w:bCs/>
          <w:iCs/>
          <w:sz w:val="18"/>
          <w:szCs w:val="18"/>
        </w:rPr>
        <w:fldChar w:fldCharType="separate"/>
      </w:r>
      <w:r w:rsidR="005735E2">
        <w:rPr>
          <w:rFonts w:ascii="Titillium" w:hAnsi="Titillium" w:cs="Calibri"/>
          <w:b/>
          <w:iCs/>
          <w:sz w:val="18"/>
          <w:szCs w:val="18"/>
        </w:rPr>
        <w:t>Errore. L'origine riferimento non è stata trovata.</w:t>
      </w:r>
      <w:r w:rsidRPr="00855434">
        <w:rPr>
          <w:rFonts w:ascii="Titillium" w:hAnsi="Titillium" w:cs="Calibri"/>
          <w:bCs/>
          <w:iCs/>
          <w:sz w:val="18"/>
          <w:szCs w:val="18"/>
        </w:rPr>
        <w:fldChar w:fldCharType="end"/>
      </w:r>
      <w:r w:rsidRPr="00855434">
        <w:rPr>
          <w:rFonts w:ascii="Titillium" w:hAnsi="Titillium" w:cs="Calibri"/>
          <w:bCs/>
          <w:iCs/>
          <w:sz w:val="18"/>
          <w:szCs w:val="18"/>
        </w:rPr>
        <w:t>.</w:t>
      </w:r>
    </w:p>
    <w:p w14:paraId="7567BB83" w14:textId="4338317A" w:rsidR="008C29E0" w:rsidRPr="008C29E0" w:rsidRDefault="008C29E0" w:rsidP="008C29E0">
      <w:pPr>
        <w:tabs>
          <w:tab w:val="left" w:pos="360"/>
        </w:tabs>
        <w:spacing w:before="60" w:after="60"/>
        <w:rPr>
          <w:rFonts w:ascii="Titillium" w:hAnsi="Titillium" w:cs="Calibri"/>
          <w:sz w:val="18"/>
          <w:szCs w:val="18"/>
        </w:rPr>
      </w:pPr>
    </w:p>
    <w:p w14:paraId="7658F69A" w14:textId="6B64F975" w:rsidR="004C53A8" w:rsidRDefault="00870286">
      <w:pPr>
        <w:spacing w:before="60" w:after="60"/>
        <w:rPr>
          <w:rFonts w:ascii="Titillium" w:hAnsi="Titillium" w:cs="Calibri"/>
          <w:b/>
          <w:sz w:val="18"/>
          <w:szCs w:val="18"/>
        </w:rPr>
      </w:pPr>
      <w:r>
        <w:rPr>
          <w:rFonts w:ascii="Titillium" w:hAnsi="Titillium" w:cs="Calibri"/>
          <w:b/>
          <w:sz w:val="18"/>
          <w:szCs w:val="18"/>
        </w:rPr>
        <w:t>1</w:t>
      </w:r>
      <w:r w:rsidR="00D807DB">
        <w:rPr>
          <w:rFonts w:ascii="Titillium" w:hAnsi="Titillium" w:cs="Calibri"/>
          <w:b/>
          <w:sz w:val="18"/>
          <w:szCs w:val="18"/>
        </w:rPr>
        <w:t>3</w:t>
      </w:r>
      <w:r>
        <w:rPr>
          <w:rFonts w:ascii="Titillium" w:hAnsi="Titillium" w:cs="Calibri"/>
          <w:b/>
          <w:sz w:val="18"/>
          <w:szCs w:val="18"/>
        </w:rPr>
        <w:t>.1 Regole per la presentazione dell’offerta</w:t>
      </w:r>
    </w:p>
    <w:p w14:paraId="58D20F44" w14:textId="77777777" w:rsidR="008E2A27" w:rsidRPr="008E2A27" w:rsidRDefault="008E2A27" w:rsidP="008E2A27">
      <w:pPr>
        <w:spacing w:before="60" w:after="60"/>
        <w:rPr>
          <w:rFonts w:ascii="Titillium" w:eastAsia="Calibri" w:hAnsi="Titillium" w:cs="Calibri"/>
          <w:color w:val="000000"/>
          <w:sz w:val="18"/>
          <w:szCs w:val="18"/>
          <w:lang w:eastAsia="it-IT"/>
        </w:rPr>
      </w:pPr>
      <w:bookmarkStart w:id="1633" w:name="_Toc89270294"/>
      <w:r w:rsidRPr="008E2A27">
        <w:rPr>
          <w:rFonts w:ascii="Titillium" w:eastAsia="Calibri" w:hAnsi="Titillium" w:cs="Calibri"/>
          <w:color w:val="000000"/>
          <w:sz w:val="18"/>
          <w:szCs w:val="18"/>
          <w:lang w:eastAsia="it-IT"/>
        </w:rPr>
        <w:t xml:space="preserve">Fermo restando le indicazioni tecniche riportate all’articolo 1 e nelle guide per l’utilizzo della Piattaforma accessibile al sito     </w:t>
      </w:r>
      <w:r w:rsidRPr="008E2A27">
        <w:rPr>
          <w:rFonts w:ascii="Titillium" w:eastAsia="Calibri" w:hAnsi="Titillium" w:cs="Calibri"/>
          <w:i/>
          <w:color w:val="000000"/>
          <w:sz w:val="18"/>
          <w:szCs w:val="18"/>
          <w:lang w:eastAsia="it-IT"/>
        </w:rPr>
        <w:t xml:space="preserve"> </w:t>
      </w:r>
      <w:hyperlink r:id="rId21">
        <w:r w:rsidRPr="008E2A27">
          <w:rPr>
            <w:rStyle w:val="Collegamentoipertestuale"/>
            <w:rFonts w:ascii="Titillium" w:eastAsia="Calibri" w:hAnsi="Titillium" w:cs="Calibri"/>
            <w:bCs/>
            <w:i/>
            <w:iCs/>
            <w:sz w:val="18"/>
            <w:szCs w:val="18"/>
            <w:lang w:eastAsia="it-IT"/>
          </w:rPr>
          <w:t>http://intercenter.regione.emilia-romagna.it/agenzia/utilizzo-del-sistema/guide/.</w:t>
        </w:r>
      </w:hyperlink>
      <w:r w:rsidRPr="008E2A27">
        <w:rPr>
          <w:rFonts w:ascii="Titillium" w:eastAsia="Calibri" w:hAnsi="Titillium" w:cs="Calibri"/>
          <w:i/>
          <w:color w:val="000000"/>
          <w:sz w:val="18"/>
          <w:szCs w:val="18"/>
          <w:lang w:eastAsia="it-IT"/>
        </w:rPr>
        <w:t xml:space="preserve"> </w:t>
      </w:r>
      <w:r w:rsidRPr="008E2A27">
        <w:rPr>
          <w:rFonts w:ascii="Titillium" w:eastAsia="Calibri" w:hAnsi="Titillium" w:cs="Calibri"/>
          <w:color w:val="000000"/>
          <w:sz w:val="18"/>
          <w:szCs w:val="18"/>
          <w:lang w:eastAsia="it-IT"/>
        </w:rPr>
        <w:t>di seguito sono indicate le modalità di caricamento dell’offerta sulla Piattaforma SATER.</w:t>
      </w:r>
    </w:p>
    <w:p w14:paraId="0DA0869D" w14:textId="77777777" w:rsidR="008E2A27" w:rsidRPr="00855434" w:rsidRDefault="008E2A27" w:rsidP="008E2A27">
      <w:pPr>
        <w:spacing w:before="60" w:after="60"/>
        <w:rPr>
          <w:rFonts w:ascii="Titillium" w:eastAsia="Calibri" w:hAnsi="Titillium" w:cs="Calibri"/>
          <w:i/>
          <w:iCs/>
          <w:color w:val="000000"/>
          <w:sz w:val="18"/>
          <w:szCs w:val="18"/>
          <w:lang w:eastAsia="it-IT"/>
        </w:rPr>
      </w:pPr>
      <w:r w:rsidRPr="00855434">
        <w:rPr>
          <w:rFonts w:ascii="Titillium" w:eastAsia="Calibri" w:hAnsi="Titillium" w:cs="Calibri"/>
          <w:i/>
          <w:iCs/>
          <w:color w:val="000000"/>
          <w:sz w:val="18"/>
          <w:szCs w:val="18"/>
          <w:lang w:eastAsia="it-IT"/>
        </w:rPr>
        <w:t>L’“</w:t>
      </w:r>
      <w:r w:rsidRPr="00855434">
        <w:rPr>
          <w:rFonts w:ascii="Titillium" w:eastAsia="Calibri" w:hAnsi="Titillium" w:cs="Calibri"/>
          <w:b/>
          <w:i/>
          <w:iCs/>
          <w:color w:val="000000"/>
          <w:sz w:val="18"/>
          <w:szCs w:val="18"/>
          <w:lang w:eastAsia="it-IT"/>
        </w:rPr>
        <w:t>OFFERTA</w:t>
      </w:r>
      <w:r w:rsidRPr="00855434">
        <w:rPr>
          <w:rFonts w:ascii="Titillium" w:eastAsia="Calibri" w:hAnsi="Titillium" w:cs="Calibri"/>
          <w:i/>
          <w:iCs/>
          <w:color w:val="000000"/>
          <w:sz w:val="18"/>
          <w:szCs w:val="18"/>
          <w:lang w:eastAsia="it-IT"/>
        </w:rPr>
        <w:t xml:space="preserve">” è composta da: </w:t>
      </w:r>
    </w:p>
    <w:p w14:paraId="6258DF85" w14:textId="77777777" w:rsidR="008E2A27" w:rsidRPr="00855434" w:rsidRDefault="008E2A27" w:rsidP="008E2A27">
      <w:pPr>
        <w:spacing w:before="60" w:after="60"/>
        <w:rPr>
          <w:rFonts w:ascii="Titillium" w:eastAsia="Calibri" w:hAnsi="Titillium" w:cs="Calibri"/>
          <w:i/>
          <w:iCs/>
          <w:color w:val="000000"/>
          <w:sz w:val="18"/>
          <w:szCs w:val="18"/>
          <w:lang w:eastAsia="it-IT"/>
        </w:rPr>
      </w:pPr>
      <w:r w:rsidRPr="00855434">
        <w:rPr>
          <w:rFonts w:ascii="Titillium" w:eastAsia="Calibri" w:hAnsi="Titillium" w:cs="Calibri"/>
          <w:i/>
          <w:iCs/>
          <w:color w:val="000000"/>
          <w:sz w:val="18"/>
          <w:szCs w:val="18"/>
          <w:lang w:eastAsia="it-IT"/>
        </w:rPr>
        <w:t xml:space="preserve">A – </w:t>
      </w:r>
      <w:r w:rsidRPr="00855434">
        <w:rPr>
          <w:rFonts w:ascii="Titillium" w:eastAsia="Calibri" w:hAnsi="Titillium" w:cs="Calibri"/>
          <w:b/>
          <w:i/>
          <w:iCs/>
          <w:color w:val="000000"/>
          <w:sz w:val="18"/>
          <w:szCs w:val="18"/>
          <w:lang w:eastAsia="it-IT"/>
        </w:rPr>
        <w:t xml:space="preserve">Documentazione amministrativa </w:t>
      </w:r>
    </w:p>
    <w:p w14:paraId="0683CAC9" w14:textId="77777777" w:rsidR="008E2A27" w:rsidRPr="00855434" w:rsidRDefault="008E2A27" w:rsidP="008E2A27">
      <w:pPr>
        <w:spacing w:before="60" w:after="60"/>
        <w:rPr>
          <w:rFonts w:ascii="Titillium" w:eastAsia="Calibri" w:hAnsi="Titillium" w:cs="Calibri"/>
          <w:i/>
          <w:iCs/>
          <w:color w:val="000000"/>
          <w:sz w:val="18"/>
          <w:szCs w:val="18"/>
          <w:lang w:eastAsia="it-IT"/>
        </w:rPr>
      </w:pPr>
      <w:r w:rsidRPr="00855434">
        <w:rPr>
          <w:rFonts w:ascii="Titillium" w:eastAsia="Calibri" w:hAnsi="Titillium" w:cs="Calibri"/>
          <w:i/>
          <w:iCs/>
          <w:color w:val="000000"/>
          <w:sz w:val="18"/>
          <w:szCs w:val="18"/>
          <w:lang w:eastAsia="it-IT"/>
        </w:rPr>
        <w:t xml:space="preserve">B – </w:t>
      </w:r>
      <w:r w:rsidRPr="00855434">
        <w:rPr>
          <w:rFonts w:ascii="Titillium" w:eastAsia="Calibri" w:hAnsi="Titillium" w:cs="Calibri"/>
          <w:b/>
          <w:bCs/>
          <w:i/>
          <w:iCs/>
          <w:color w:val="000000"/>
          <w:sz w:val="18"/>
          <w:szCs w:val="18"/>
          <w:lang w:eastAsia="it-IT"/>
        </w:rPr>
        <w:t xml:space="preserve">Offerta tecnica </w:t>
      </w:r>
    </w:p>
    <w:p w14:paraId="09072FDA" w14:textId="77777777" w:rsidR="008E2A27" w:rsidRPr="00855434" w:rsidRDefault="008E2A27" w:rsidP="008E2A27">
      <w:pPr>
        <w:spacing w:before="60" w:after="60"/>
        <w:rPr>
          <w:rFonts w:ascii="Titillium" w:eastAsia="Calibri" w:hAnsi="Titillium" w:cs="Calibri"/>
          <w:i/>
          <w:iCs/>
          <w:color w:val="000000"/>
          <w:sz w:val="18"/>
          <w:szCs w:val="18"/>
          <w:lang w:eastAsia="it-IT"/>
        </w:rPr>
      </w:pPr>
      <w:r w:rsidRPr="00855434">
        <w:rPr>
          <w:rFonts w:ascii="Titillium" w:eastAsia="Calibri" w:hAnsi="Titillium" w:cs="Calibri"/>
          <w:i/>
          <w:iCs/>
          <w:color w:val="000000"/>
          <w:sz w:val="18"/>
          <w:szCs w:val="18"/>
          <w:lang w:eastAsia="it-IT"/>
        </w:rPr>
        <w:t xml:space="preserve">C – </w:t>
      </w:r>
      <w:r w:rsidRPr="00855434">
        <w:rPr>
          <w:rFonts w:ascii="Titillium" w:eastAsia="Calibri" w:hAnsi="Titillium" w:cs="Calibri"/>
          <w:b/>
          <w:bCs/>
          <w:i/>
          <w:iCs/>
          <w:color w:val="000000"/>
          <w:sz w:val="18"/>
          <w:szCs w:val="18"/>
          <w:lang w:eastAsia="it-IT"/>
        </w:rPr>
        <w:t>Offerta economica</w:t>
      </w:r>
      <w:r w:rsidRPr="00855434">
        <w:rPr>
          <w:rFonts w:ascii="Titillium" w:eastAsia="Calibri" w:hAnsi="Titillium" w:cs="Calibri"/>
          <w:i/>
          <w:iCs/>
          <w:color w:val="000000"/>
          <w:sz w:val="18"/>
          <w:szCs w:val="18"/>
          <w:lang w:eastAsia="it-IT"/>
        </w:rPr>
        <w:t xml:space="preserve">. </w:t>
      </w:r>
    </w:p>
    <w:p w14:paraId="30ED6252" w14:textId="77777777" w:rsidR="006469A4" w:rsidRPr="006469A4" w:rsidRDefault="006469A4" w:rsidP="006469A4">
      <w:pPr>
        <w:spacing w:before="60" w:after="60"/>
        <w:rPr>
          <w:rFonts w:ascii="Titillium" w:hAnsi="Titillium" w:cs="Calibri"/>
          <w:sz w:val="18"/>
          <w:szCs w:val="18"/>
        </w:rPr>
      </w:pPr>
      <w:r w:rsidRPr="006469A4">
        <w:rPr>
          <w:rFonts w:ascii="Titillium" w:hAnsi="Titillium" w:cs="Calibri"/>
          <w:sz w:val="18"/>
          <w:szCs w:val="18"/>
        </w:rPr>
        <w:t xml:space="preserve">L’operatore economico ha facoltà di inserire nella PAD offerte successive che sostituiscono la precedente, ovvero ritirare l’offerta presentata, nel periodo di tempo compreso tra la data e ora di inizio e la data e ora di chiusura della fase di presentazione delle offerte. </w:t>
      </w:r>
      <w:r w:rsidRPr="006469A4">
        <w:rPr>
          <w:rFonts w:ascii="Titillium" w:hAnsi="Titillium" w:cs="Calibri"/>
          <w:bCs/>
          <w:color w:val="000000"/>
          <w:sz w:val="18"/>
          <w:szCs w:val="18"/>
        </w:rPr>
        <w:t>La stazione appaltante considera esclusivamente l’ultima offerta presentata.</w:t>
      </w:r>
      <w:r w:rsidRPr="006469A4">
        <w:rPr>
          <w:rFonts w:ascii="Titillium" w:hAnsi="Titillium" w:cs="Calibri"/>
          <w:sz w:val="18"/>
          <w:szCs w:val="18"/>
        </w:rPr>
        <w:t xml:space="preserve"> </w:t>
      </w:r>
    </w:p>
    <w:p w14:paraId="1DE1BD7B" w14:textId="77777777" w:rsidR="006469A4" w:rsidRPr="006469A4" w:rsidRDefault="006469A4" w:rsidP="006469A4">
      <w:pPr>
        <w:widowControl w:val="0"/>
        <w:rPr>
          <w:rFonts w:ascii="Titillium" w:eastAsia="Calibri" w:hAnsi="Titillium" w:cs="Book-Antiqua,Bold"/>
          <w:color w:val="000000"/>
          <w:sz w:val="18"/>
          <w:szCs w:val="18"/>
          <w:lang w:eastAsia="it-IT"/>
        </w:rPr>
      </w:pPr>
      <w:r w:rsidRPr="006469A4">
        <w:rPr>
          <w:rFonts w:ascii="Titillium" w:eastAsia="Calibri" w:hAnsi="Titillium" w:cs="Book-Antiqua,Bold"/>
          <w:color w:val="000000"/>
          <w:sz w:val="18"/>
          <w:szCs w:val="18"/>
          <w:lang w:eastAsia="it-IT"/>
        </w:rPr>
        <w:t xml:space="preserve">Si precisa inoltre che: </w:t>
      </w:r>
    </w:p>
    <w:p w14:paraId="782EDB6A" w14:textId="77777777" w:rsidR="006469A4" w:rsidRPr="006469A4" w:rsidRDefault="006469A4" w:rsidP="006469A4">
      <w:pPr>
        <w:widowControl w:val="0"/>
        <w:numPr>
          <w:ilvl w:val="0"/>
          <w:numId w:val="14"/>
        </w:numPr>
        <w:spacing w:after="70" w:line="240" w:lineRule="auto"/>
        <w:ind w:left="426" w:hanging="357"/>
        <w:rPr>
          <w:rFonts w:ascii="Titillium" w:eastAsia="Calibri" w:hAnsi="Titillium" w:cs="Book-Antiqua,Bold"/>
          <w:color w:val="000000"/>
          <w:sz w:val="18"/>
          <w:szCs w:val="18"/>
          <w:lang w:eastAsia="it-IT"/>
        </w:rPr>
      </w:pPr>
      <w:r w:rsidRPr="006469A4">
        <w:rPr>
          <w:rFonts w:ascii="Titillium" w:eastAsia="Calibri" w:hAnsi="Titillium" w:cs="Book-Antiqua,Bold"/>
          <w:color w:val="000000"/>
          <w:sz w:val="18"/>
          <w:szCs w:val="18"/>
          <w:lang w:eastAsia="it-IT"/>
        </w:rPr>
        <w:t>l’offerta è vincolante per il concorrente;</w:t>
      </w:r>
    </w:p>
    <w:p w14:paraId="38A47981" w14:textId="77777777" w:rsidR="006469A4" w:rsidRPr="006469A4" w:rsidRDefault="006469A4" w:rsidP="006469A4">
      <w:pPr>
        <w:widowControl w:val="0"/>
        <w:numPr>
          <w:ilvl w:val="0"/>
          <w:numId w:val="14"/>
        </w:numPr>
        <w:spacing w:line="240" w:lineRule="auto"/>
        <w:ind w:left="426" w:hanging="357"/>
        <w:rPr>
          <w:rFonts w:ascii="Titillium" w:eastAsia="Calibri" w:hAnsi="Titillium" w:cs="Calibri"/>
          <w:color w:val="000000"/>
          <w:sz w:val="18"/>
          <w:szCs w:val="18"/>
          <w:lang w:eastAsia="it-IT"/>
        </w:rPr>
      </w:pPr>
      <w:r w:rsidRPr="006469A4">
        <w:rPr>
          <w:rFonts w:ascii="Titillium" w:eastAsia="Calibri" w:hAnsi="Titillium" w:cs="Calibri"/>
          <w:color w:val="000000"/>
          <w:sz w:val="18"/>
          <w:szCs w:val="18"/>
          <w:lang w:eastAsia="it-IT"/>
        </w:rPr>
        <w:t>con la trasmissione dell’offerta, il concorrente accetta tutta la documentazione di gara, allegati e chiarimenti inclusi.</w:t>
      </w:r>
    </w:p>
    <w:p w14:paraId="18D6176B" w14:textId="77777777" w:rsidR="006469A4" w:rsidRPr="006469A4" w:rsidRDefault="006469A4" w:rsidP="006469A4">
      <w:pPr>
        <w:spacing w:before="60" w:after="60"/>
      </w:pPr>
      <w:r w:rsidRPr="006469A4">
        <w:rPr>
          <w:rFonts w:ascii="Titillium" w:hAnsi="Titillium" w:cs="Calibri"/>
          <w:sz w:val="18"/>
          <w:szCs w:val="18"/>
        </w:rPr>
        <w:t>Al momento della ricezione delle offerte, ciascun concorrente riceve notifica della corretta ricezione della documentazione inviata.</w:t>
      </w:r>
    </w:p>
    <w:p w14:paraId="684D1745" w14:textId="77777777" w:rsidR="006469A4" w:rsidRPr="006469A4" w:rsidRDefault="006469A4" w:rsidP="006469A4">
      <w:pPr>
        <w:widowControl w:val="0"/>
        <w:spacing w:before="60" w:after="60"/>
        <w:rPr>
          <w:rFonts w:ascii="Book-Antiqua,Bold" w:eastAsia="Calibri" w:hAnsi="Book-Antiqua,Bold" w:cs="Book-Antiqua,Bold"/>
          <w:color w:val="000000"/>
          <w:szCs w:val="24"/>
          <w:lang w:eastAsia="it-IT"/>
        </w:rPr>
      </w:pPr>
      <w:r w:rsidRPr="006469A4">
        <w:rPr>
          <w:rFonts w:ascii="Titillium" w:eastAsia="Calibri" w:hAnsi="Titillium" w:cs="Calibri"/>
          <w:color w:val="000000"/>
          <w:sz w:val="18"/>
          <w:szCs w:val="18"/>
          <w:lang w:eastAsia="it-IT"/>
        </w:rPr>
        <w:t xml:space="preserve">La PAD consente al concorrente di visualizzare l’avvenuta trasmissione della domanda. </w:t>
      </w:r>
    </w:p>
    <w:p w14:paraId="7082A321" w14:textId="77777777" w:rsidR="006469A4" w:rsidRPr="006469A4" w:rsidRDefault="006469A4" w:rsidP="006469A4">
      <w:pPr>
        <w:spacing w:before="60" w:after="60"/>
      </w:pPr>
      <w:r w:rsidRPr="006469A4">
        <w:rPr>
          <w:rFonts w:ascii="Titillium" w:hAnsi="Titillium"/>
          <w:sz w:val="18"/>
          <w:szCs w:val="18"/>
        </w:rPr>
        <w:t xml:space="preserve">Il concorrente che intenda partecipare in forma associata (per esempio raggruppamento temporaneo di imprese/Consorzi, sia costituiti che costituendi) in sede di presentazione dell’offerta indica la forma di partecipazione e indica gli operatori economici riuniti o consorziati. </w:t>
      </w:r>
    </w:p>
    <w:p w14:paraId="5EB92CDC" w14:textId="77777777" w:rsidR="006469A4" w:rsidRPr="006469A4" w:rsidRDefault="006469A4" w:rsidP="006469A4">
      <w:pPr>
        <w:spacing w:before="60" w:after="60"/>
        <w:rPr>
          <w:rFonts w:ascii="Titillium" w:hAnsi="Titillium"/>
          <w:sz w:val="18"/>
          <w:szCs w:val="18"/>
        </w:rPr>
      </w:pPr>
      <w:r w:rsidRPr="006469A4">
        <w:rPr>
          <w:rFonts w:ascii="Titillium" w:hAnsi="Titillium"/>
          <w:sz w:val="18"/>
          <w:szCs w:val="18"/>
        </w:rPr>
        <w:t xml:space="preserve">Tutta la documentazione da produrre deve essere in lingua italiana. </w:t>
      </w:r>
    </w:p>
    <w:p w14:paraId="00FAE824" w14:textId="77777777" w:rsidR="006469A4" w:rsidRPr="006469A4" w:rsidRDefault="006469A4" w:rsidP="006469A4">
      <w:pPr>
        <w:spacing w:before="60" w:after="60"/>
        <w:rPr>
          <w:rFonts w:ascii="Titillium" w:eastAsia="Calibri" w:hAnsi="Titillium" w:cs="Calibri"/>
          <w:bCs/>
          <w:iCs/>
          <w:color w:val="000000"/>
          <w:sz w:val="18"/>
          <w:szCs w:val="18"/>
          <w:lang w:eastAsia="it-IT"/>
        </w:rPr>
      </w:pPr>
      <w:r w:rsidRPr="006469A4">
        <w:rPr>
          <w:rFonts w:ascii="Titillium" w:hAnsi="Titillium" w:cs="Calibri"/>
          <w:b/>
          <w:bCs/>
          <w:sz w:val="18"/>
          <w:szCs w:val="18"/>
          <w:u w:val="single"/>
        </w:rPr>
        <w:lastRenderedPageBreak/>
        <w:t>L’offerta vincola il concorrente per</w:t>
      </w:r>
      <w:r w:rsidRPr="006469A4">
        <w:rPr>
          <w:rFonts w:ascii="Titillium" w:hAnsi="Titillium" w:cs="Calibri"/>
          <w:b/>
          <w:bCs/>
          <w:i/>
          <w:sz w:val="18"/>
          <w:szCs w:val="18"/>
          <w:u w:val="single"/>
        </w:rPr>
        <w:t xml:space="preserve"> 180 giorni </w:t>
      </w:r>
      <w:r w:rsidRPr="006469A4">
        <w:rPr>
          <w:rFonts w:ascii="Titillium" w:hAnsi="Titillium" w:cs="Calibri"/>
          <w:b/>
          <w:bCs/>
          <w:sz w:val="18"/>
          <w:szCs w:val="18"/>
          <w:u w:val="single"/>
        </w:rPr>
        <w:t>dalla scadenza</w:t>
      </w:r>
      <w:r w:rsidRPr="006469A4">
        <w:rPr>
          <w:rFonts w:ascii="Titillium" w:hAnsi="Titillium" w:cs="Calibri"/>
          <w:b/>
          <w:bCs/>
          <w:i/>
          <w:sz w:val="18"/>
          <w:szCs w:val="18"/>
          <w:u w:val="single"/>
        </w:rPr>
        <w:t xml:space="preserve"> </w:t>
      </w:r>
      <w:r w:rsidRPr="006469A4">
        <w:rPr>
          <w:rFonts w:ascii="Titillium" w:hAnsi="Titillium" w:cs="Calibri"/>
          <w:b/>
          <w:bCs/>
          <w:sz w:val="18"/>
          <w:szCs w:val="18"/>
          <w:u w:val="single"/>
        </w:rPr>
        <w:t>del termine indicato per la presentazione dell’offerta</w:t>
      </w:r>
      <w:r w:rsidRPr="006469A4">
        <w:rPr>
          <w:rFonts w:ascii="Titillium" w:hAnsi="Titillium" w:cs="Calibri"/>
          <w:sz w:val="18"/>
          <w:szCs w:val="18"/>
        </w:rPr>
        <w:t xml:space="preserve">, </w:t>
      </w:r>
      <w:r w:rsidRPr="006469A4">
        <w:rPr>
          <w:rFonts w:ascii="Titillium" w:eastAsia="Calibri" w:hAnsi="Titillium" w:cs="Calibri"/>
          <w:bCs/>
          <w:iCs/>
          <w:color w:val="000000"/>
          <w:sz w:val="18"/>
          <w:szCs w:val="18"/>
          <w:lang w:eastAsia="it-IT"/>
        </w:rPr>
        <w:t>mentre non è vincolante per l’Amministrazione che ha facoltà di non procedere all’aggiudicazione.</w:t>
      </w:r>
    </w:p>
    <w:p w14:paraId="34A855FD" w14:textId="77777777" w:rsidR="006469A4" w:rsidRPr="006469A4" w:rsidRDefault="006469A4" w:rsidP="006469A4">
      <w:pPr>
        <w:spacing w:before="60" w:after="60"/>
        <w:rPr>
          <w:rFonts w:ascii="Titillium" w:hAnsi="Titillium" w:cs="Calibri"/>
          <w:sz w:val="18"/>
          <w:szCs w:val="18"/>
        </w:rPr>
      </w:pPr>
      <w:r w:rsidRPr="006469A4">
        <w:rPr>
          <w:rFonts w:ascii="Titillium" w:hAnsi="Titillium" w:cs="Calibri"/>
          <w:sz w:val="18"/>
          <w:szCs w:val="18"/>
        </w:rPr>
        <w:t xml:space="preserve">Nel caso in cui alla data di scadenza della validità delle offerte le operazioni di gara siano ancora in corso, sarà richiesto agli offerenti di confermare la validità dell’offerta sino alla data indicata e di produrre un apposito documento attestante la validità della garanzia prestata in sede di gara fino alla medesima data. </w:t>
      </w:r>
    </w:p>
    <w:p w14:paraId="38F7AB7F" w14:textId="77777777" w:rsidR="006469A4" w:rsidRPr="006469A4" w:rsidRDefault="006469A4" w:rsidP="006469A4">
      <w:pPr>
        <w:spacing w:before="60" w:after="60"/>
        <w:rPr>
          <w:rFonts w:ascii="Titillium" w:hAnsi="Titillium" w:cs="Calibri"/>
          <w:sz w:val="18"/>
          <w:szCs w:val="18"/>
        </w:rPr>
      </w:pPr>
      <w:r w:rsidRPr="006469A4">
        <w:rPr>
          <w:rFonts w:ascii="Titillium" w:hAnsi="Titillium" w:cs="Calibri"/>
          <w:sz w:val="18"/>
          <w:szCs w:val="18"/>
        </w:rPr>
        <w:t>Il mancato riscontro alla richiesta della stazione appaltante entro il termine fissato da quest’ultima o comunque in tempo utile alla celere prosecuzione della procedura è considerato come rinuncia del concorrente alla partecipazione alla gara.</w:t>
      </w:r>
    </w:p>
    <w:p w14:paraId="107AEB4A" w14:textId="77777777" w:rsidR="006469A4" w:rsidRPr="006469A4" w:rsidRDefault="006469A4" w:rsidP="006469A4">
      <w:pPr>
        <w:spacing w:before="60" w:after="60"/>
        <w:rPr>
          <w:rFonts w:ascii="Titillium" w:hAnsi="Titillium" w:cs="Calibri"/>
          <w:sz w:val="18"/>
          <w:szCs w:val="18"/>
        </w:rPr>
      </w:pPr>
      <w:r w:rsidRPr="006469A4">
        <w:rPr>
          <w:rFonts w:ascii="Titillium" w:hAnsi="Titillium" w:cs="Calibri"/>
          <w:sz w:val="18"/>
          <w:szCs w:val="18"/>
        </w:rPr>
        <w:t xml:space="preserve">Fino al giorno fissato per l’apertura delle offerte tecniche o economiche, l’operatore economico può effettuare, tramite la PAD, la richiesta di rettifica di un errore materiale contenuto rispettivamente nell’offerta tecnica o nell’offerta economica, di cui si sia avveduto dopo la scadenza del termine per la loro presentazione. A tal fine, richiede di potersi avvalere di tale facoltà.  </w:t>
      </w:r>
    </w:p>
    <w:p w14:paraId="56A11DE5" w14:textId="77777777" w:rsidR="006469A4" w:rsidRPr="006469A4" w:rsidRDefault="006469A4" w:rsidP="006469A4">
      <w:pPr>
        <w:spacing w:before="60" w:after="60"/>
        <w:rPr>
          <w:rFonts w:ascii="Titillium" w:hAnsi="Titillium" w:cs="Calibri"/>
          <w:sz w:val="18"/>
          <w:szCs w:val="18"/>
        </w:rPr>
      </w:pPr>
      <w:r w:rsidRPr="006469A4">
        <w:rPr>
          <w:rFonts w:ascii="Titillium" w:hAnsi="Titillium" w:cs="Calibri"/>
          <w:sz w:val="18"/>
          <w:szCs w:val="18"/>
        </w:rPr>
        <w:t>A seguito della richiesta, sono comunicate all’operatore economico le modalità e i tempi con cui procedere all’indicazione degli elementi che consentono l’individuazione dell’errore materiale e la sua correzione. La rettifica è operata nel rispetto della segretezza dell’offerta</w:t>
      </w:r>
      <w:r w:rsidRPr="006469A4" w:rsidDel="001D23DD">
        <w:rPr>
          <w:rFonts w:ascii="Titillium" w:hAnsi="Titillium" w:cs="Calibri"/>
          <w:sz w:val="18"/>
          <w:szCs w:val="18"/>
        </w:rPr>
        <w:t xml:space="preserve"> </w:t>
      </w:r>
      <w:r w:rsidRPr="006469A4">
        <w:rPr>
          <w:rFonts w:ascii="Titillium" w:hAnsi="Titillium" w:cs="Calibri"/>
          <w:sz w:val="18"/>
          <w:szCs w:val="18"/>
        </w:rPr>
        <w:t>e non può comportare la presentazione di una nuova offerta, né la sua modifica sostanziale.</w:t>
      </w:r>
    </w:p>
    <w:p w14:paraId="7E04B3E1" w14:textId="77777777" w:rsidR="006469A4" w:rsidRPr="006469A4" w:rsidRDefault="006469A4" w:rsidP="006469A4">
      <w:pPr>
        <w:spacing w:before="60" w:after="60"/>
        <w:rPr>
          <w:rFonts w:ascii="Titillium" w:hAnsi="Titillium" w:cs="Calibri"/>
          <w:sz w:val="18"/>
          <w:szCs w:val="18"/>
        </w:rPr>
      </w:pPr>
      <w:r w:rsidRPr="006469A4">
        <w:rPr>
          <w:rFonts w:ascii="Titillium" w:hAnsi="Titillium" w:cs="Calibri"/>
          <w:sz w:val="18"/>
          <w:szCs w:val="18"/>
        </w:rPr>
        <w:t>Se la rettifica è ritenuta non accoglibile perché sostanziale, è valutata la possibilità di dichiarare l’offerta inammissibile.</w:t>
      </w:r>
    </w:p>
    <w:p w14:paraId="12636785" w14:textId="514FEA97" w:rsidR="004C53A8" w:rsidRDefault="00870286" w:rsidP="008300A5">
      <w:pPr>
        <w:pStyle w:val="Titolo2"/>
        <w:numPr>
          <w:ilvl w:val="0"/>
          <w:numId w:val="3"/>
        </w:numPr>
        <w:ind w:left="357" w:hanging="357"/>
        <w:rPr>
          <w:rFonts w:ascii="Titillium" w:hAnsi="Titillium"/>
          <w:sz w:val="18"/>
          <w:szCs w:val="18"/>
          <w:lang w:val="it-IT"/>
        </w:rPr>
      </w:pPr>
      <w:r>
        <w:rPr>
          <w:rFonts w:ascii="Titillium" w:hAnsi="Titillium"/>
          <w:sz w:val="18"/>
          <w:szCs w:val="18"/>
          <w:lang w:val="it-IT"/>
        </w:rPr>
        <w:t>SOCCORSO ISTRUTTORIO</w:t>
      </w:r>
      <w:bookmarkEnd w:id="1633"/>
    </w:p>
    <w:p w14:paraId="38F52A96" w14:textId="77777777" w:rsidR="00B95A11" w:rsidRPr="00B95A11" w:rsidRDefault="00B95A11" w:rsidP="00B95A11">
      <w:pPr>
        <w:spacing w:before="60" w:after="60"/>
        <w:rPr>
          <w:rFonts w:ascii="Titillium" w:hAnsi="Titillium"/>
          <w:sz w:val="18"/>
          <w:szCs w:val="18"/>
        </w:rPr>
      </w:pPr>
      <w:r w:rsidRPr="00B95A11">
        <w:rPr>
          <w:rFonts w:ascii="Titillium" w:hAnsi="Titillium"/>
          <w:sz w:val="18"/>
          <w:szCs w:val="18"/>
        </w:rPr>
        <w:t>Con la procedura di soccorso istruttorio di cui all’articolo 101 del Codice, possono essere sanate le carenze della documentazione trasmessa con la domanda di partecipazione ma non quelle della documentazione che compone l’offerta tecnica e l’offerta economica.</w:t>
      </w:r>
    </w:p>
    <w:p w14:paraId="306F8F24" w14:textId="77777777" w:rsidR="00B95A11" w:rsidRPr="00B95A11" w:rsidRDefault="00B95A11" w:rsidP="00B95A11">
      <w:pPr>
        <w:spacing w:before="60" w:after="60"/>
        <w:rPr>
          <w:rFonts w:ascii="Titillium" w:hAnsi="Titillium"/>
          <w:b/>
          <w:sz w:val="18"/>
          <w:szCs w:val="18"/>
        </w:rPr>
      </w:pPr>
      <w:r w:rsidRPr="00B95A11">
        <w:rPr>
          <w:rFonts w:ascii="Titillium" w:hAnsi="Titillium"/>
          <w:sz w:val="18"/>
          <w:szCs w:val="18"/>
        </w:rPr>
        <w:t xml:space="preserve">Con la medesima procedura può essere sanata ogni omissione, inesattezza o irregolarità della domanda di partecipazione e di ogni altro documento richiesto per la partecipazione alla procedura di gara, con esclusione della documentazione che compone l’offerta tecnica e l’offerta economica. </w:t>
      </w:r>
      <w:r w:rsidRPr="00B95A11">
        <w:rPr>
          <w:rFonts w:ascii="Titillium" w:hAnsi="Titillium"/>
          <w:b/>
          <w:sz w:val="18"/>
          <w:szCs w:val="18"/>
        </w:rPr>
        <w:t xml:space="preserve">Non sono sanabili le omissioni, le inesattezze e irregolarità che rendono assolutamente incerta l’identità del concorrente. </w:t>
      </w:r>
    </w:p>
    <w:p w14:paraId="42D318F7" w14:textId="77777777" w:rsidR="00B95A11" w:rsidRPr="00B95A11" w:rsidRDefault="00B95A11" w:rsidP="00B95A11">
      <w:pPr>
        <w:spacing w:before="60" w:after="60"/>
        <w:rPr>
          <w:rFonts w:ascii="Titillium" w:hAnsi="Titillium"/>
          <w:sz w:val="18"/>
          <w:szCs w:val="18"/>
        </w:rPr>
      </w:pPr>
      <w:r w:rsidRPr="00B95A11">
        <w:rPr>
          <w:rFonts w:ascii="Titillium" w:hAnsi="Titillium"/>
          <w:b/>
          <w:bCs/>
          <w:sz w:val="18"/>
          <w:szCs w:val="18"/>
        </w:rPr>
        <w:t>A titolo esemplificativo</w:t>
      </w:r>
      <w:r w:rsidRPr="00B95A11">
        <w:rPr>
          <w:rFonts w:ascii="Titillium" w:hAnsi="Titillium"/>
          <w:sz w:val="18"/>
          <w:szCs w:val="18"/>
        </w:rPr>
        <w:t xml:space="preserve">, si chiarisce che sono sanabili: </w:t>
      </w:r>
    </w:p>
    <w:p w14:paraId="3771A11C" w14:textId="77777777" w:rsidR="00B95A11" w:rsidRPr="00B95A11" w:rsidRDefault="00B95A11" w:rsidP="005D67CA">
      <w:pPr>
        <w:numPr>
          <w:ilvl w:val="0"/>
          <w:numId w:val="56"/>
        </w:numPr>
        <w:spacing w:before="60" w:after="60"/>
        <w:ind w:left="426"/>
        <w:contextualSpacing/>
        <w:rPr>
          <w:rFonts w:ascii="Titillium" w:hAnsi="Titillium"/>
          <w:sz w:val="18"/>
          <w:szCs w:val="18"/>
        </w:rPr>
      </w:pPr>
      <w:r w:rsidRPr="00B95A11">
        <w:rPr>
          <w:rFonts w:ascii="Titillium" w:hAnsi="Titillium"/>
          <w:sz w:val="18"/>
          <w:szCs w:val="18"/>
        </w:rPr>
        <w:t xml:space="preserve">il mancato o parziale pagamento del contributo ANAC anche laddove non effettuato entro la scadenza del termine di presentazione delle offerte; </w:t>
      </w:r>
    </w:p>
    <w:p w14:paraId="1D3E7FCC" w14:textId="77777777" w:rsidR="00B95A11" w:rsidRPr="00B95A11" w:rsidRDefault="00B95A11" w:rsidP="00C322CA">
      <w:pPr>
        <w:numPr>
          <w:ilvl w:val="0"/>
          <w:numId w:val="56"/>
        </w:numPr>
        <w:spacing w:before="60" w:after="60"/>
        <w:ind w:left="426"/>
        <w:contextualSpacing/>
        <w:jc w:val="left"/>
        <w:rPr>
          <w:rFonts w:ascii="Titillium" w:hAnsi="Titillium"/>
          <w:sz w:val="18"/>
          <w:szCs w:val="18"/>
        </w:rPr>
      </w:pPr>
      <w:r w:rsidRPr="00B95A11">
        <w:rPr>
          <w:rFonts w:ascii="Titillium" w:hAnsi="Titillium"/>
          <w:sz w:val="18"/>
          <w:szCs w:val="18"/>
        </w:rPr>
        <w:t xml:space="preserve">l’omessa o incompleta nonché irregolare presentazione delle dichiarazioni sul possesso dei requisiti di partecipazione e ogni altra mancanza, incompletezza o irregolarità della domanda;        </w:t>
      </w:r>
    </w:p>
    <w:p w14:paraId="7A395395" w14:textId="77777777" w:rsidR="00B95A11" w:rsidRPr="00B95A11" w:rsidRDefault="00B95A11" w:rsidP="005D67CA">
      <w:pPr>
        <w:numPr>
          <w:ilvl w:val="0"/>
          <w:numId w:val="56"/>
        </w:numPr>
        <w:spacing w:before="60" w:after="60"/>
        <w:ind w:left="426"/>
        <w:contextualSpacing/>
        <w:rPr>
          <w:rFonts w:ascii="Titillium" w:hAnsi="Titillium"/>
          <w:sz w:val="18"/>
          <w:szCs w:val="18"/>
        </w:rPr>
      </w:pPr>
      <w:r w:rsidRPr="00B95A11">
        <w:rPr>
          <w:rFonts w:ascii="Titillium" w:hAnsi="Titillium"/>
          <w:sz w:val="18"/>
          <w:szCs w:val="18"/>
        </w:rPr>
        <w:t>il difetto di sottoscrizione della domanda di partecipazione, delle dichiarazioni richieste e dell’offerta, a condizione che la mancanza della sottoscrizione non precluda la riconoscibilità della provenienza dell’offerta e non comporti un’incertezza assoluta sulla stessa;</w:t>
      </w:r>
    </w:p>
    <w:p w14:paraId="044882FA" w14:textId="77777777" w:rsidR="00B95A11" w:rsidRPr="00B95A11" w:rsidRDefault="00B95A11" w:rsidP="005D67CA">
      <w:pPr>
        <w:numPr>
          <w:ilvl w:val="0"/>
          <w:numId w:val="56"/>
        </w:numPr>
        <w:spacing w:before="60" w:after="60"/>
        <w:ind w:left="426"/>
        <w:contextualSpacing/>
        <w:rPr>
          <w:rFonts w:ascii="Titillium" w:hAnsi="Titillium"/>
          <w:sz w:val="18"/>
          <w:szCs w:val="18"/>
        </w:rPr>
      </w:pPr>
      <w:r w:rsidRPr="00B95A11">
        <w:rPr>
          <w:rFonts w:ascii="Titillium" w:hAnsi="Titillium"/>
          <w:sz w:val="18"/>
          <w:szCs w:val="18"/>
        </w:rPr>
        <w:t>l’omessa dichiarazione sull’assolvimento degli obblighi di cui alla legge 68/1999 e, per i concorrenti che occupano oltre cinquanta dipendenti, l’omessa presentazione di copia dell’ultimo rapporto periodico sulla situazione del personale maschile e femminile, redatto ai sensi dell’articolo 46 decreto legislativo n. 198 del 2006, e la trasmissione dello stesso alle rappresentanze sindacali e ai consiglieri regionali di parità, purché il rapporto sia stato redatto e trasmesso in data anteriore al termine per la presentazione delle offerte.</w:t>
      </w:r>
    </w:p>
    <w:p w14:paraId="6CD5706F" w14:textId="77777777" w:rsidR="00B95A11" w:rsidRPr="00B95A11" w:rsidRDefault="00B95A11" w:rsidP="00B95A11">
      <w:pPr>
        <w:spacing w:before="60" w:after="60"/>
        <w:ind w:left="426"/>
        <w:contextualSpacing/>
        <w:rPr>
          <w:rFonts w:ascii="Titillium" w:hAnsi="Titillium"/>
          <w:sz w:val="18"/>
          <w:szCs w:val="18"/>
        </w:rPr>
      </w:pPr>
    </w:p>
    <w:p w14:paraId="53473454" w14:textId="77777777" w:rsidR="00B95A11" w:rsidRPr="00B95A11" w:rsidRDefault="00B95A11" w:rsidP="00B95A11">
      <w:pPr>
        <w:spacing w:before="60" w:after="60"/>
        <w:rPr>
          <w:rFonts w:ascii="Titillium" w:hAnsi="Titillium"/>
          <w:sz w:val="18"/>
          <w:szCs w:val="18"/>
        </w:rPr>
      </w:pPr>
      <w:r w:rsidRPr="00B95A11">
        <w:rPr>
          <w:rFonts w:ascii="Titillium" w:hAnsi="Titillium"/>
          <w:sz w:val="18"/>
          <w:szCs w:val="18"/>
        </w:rPr>
        <w:t xml:space="preserve">Non sono sanabili: </w:t>
      </w:r>
    </w:p>
    <w:p w14:paraId="6DAF6AD5" w14:textId="77777777" w:rsidR="00B95A11" w:rsidRPr="00B95A11" w:rsidRDefault="00B95A11" w:rsidP="005D67CA">
      <w:pPr>
        <w:numPr>
          <w:ilvl w:val="0"/>
          <w:numId w:val="55"/>
        </w:numPr>
        <w:suppressAutoHyphens/>
        <w:ind w:left="426"/>
        <w:rPr>
          <w:rFonts w:ascii="Titillium" w:hAnsi="Titillium"/>
          <w:sz w:val="18"/>
          <w:szCs w:val="18"/>
        </w:rPr>
      </w:pPr>
      <w:r w:rsidRPr="00B95A11">
        <w:rPr>
          <w:rFonts w:ascii="Titillium" w:hAnsi="Titillium"/>
          <w:sz w:val="18"/>
          <w:szCs w:val="18"/>
        </w:rPr>
        <w:t>il mancato possesso dei prescritti requisiti di partecipazione;</w:t>
      </w:r>
    </w:p>
    <w:p w14:paraId="7DA251EE" w14:textId="77777777" w:rsidR="00B95A11" w:rsidRPr="00B95A11" w:rsidRDefault="00B95A11" w:rsidP="005D67CA">
      <w:pPr>
        <w:numPr>
          <w:ilvl w:val="0"/>
          <w:numId w:val="55"/>
        </w:numPr>
        <w:suppressAutoHyphens/>
        <w:spacing w:before="60" w:after="60"/>
        <w:ind w:left="426"/>
      </w:pPr>
      <w:r w:rsidRPr="00B95A11">
        <w:rPr>
          <w:rFonts w:ascii="Titillium" w:hAnsi="Titillium"/>
          <w:sz w:val="18"/>
          <w:szCs w:val="18"/>
        </w:rPr>
        <w:t>le false dichiarazioni circa il possesso dei prescritti requisiti di partecipazione;</w:t>
      </w:r>
    </w:p>
    <w:p w14:paraId="1CF5B607" w14:textId="1BC62AEA" w:rsidR="00B95A11" w:rsidRPr="00B95A11" w:rsidRDefault="00B95A11" w:rsidP="00B95A11">
      <w:pPr>
        <w:numPr>
          <w:ilvl w:val="0"/>
          <w:numId w:val="5"/>
        </w:numPr>
        <w:spacing w:before="60" w:after="60"/>
        <w:ind w:left="426"/>
        <w:rPr>
          <w:rFonts w:ascii="Titillium" w:hAnsi="Titillium"/>
          <w:sz w:val="18"/>
          <w:szCs w:val="18"/>
        </w:rPr>
      </w:pPr>
      <w:r w:rsidRPr="00B95A11">
        <w:rPr>
          <w:rFonts w:ascii="Titillium" w:hAnsi="Titillium"/>
          <w:b/>
          <w:sz w:val="18"/>
          <w:szCs w:val="18"/>
        </w:rPr>
        <w:t xml:space="preserve">non è sanabile mediante soccorso istruttorio l’omesso impegno ad assicurare, in caso di aggiudicazione del contratto, l’assunzione di una quota di </w:t>
      </w:r>
      <w:r w:rsidRPr="00B95A11">
        <w:rPr>
          <w:rFonts w:ascii="Titillium" w:hAnsi="Titillium" w:cs="Arial"/>
          <w:b/>
          <w:sz w:val="18"/>
          <w:szCs w:val="18"/>
        </w:rPr>
        <w:t xml:space="preserve">occupazione giovanile e femminile di cui al paragrafo </w:t>
      </w:r>
      <w:r w:rsidR="004F0C14">
        <w:rPr>
          <w:rFonts w:ascii="Titillium" w:hAnsi="Titillium" w:cs="Arial"/>
          <w:b/>
          <w:sz w:val="18"/>
          <w:szCs w:val="18"/>
        </w:rPr>
        <w:t>9</w:t>
      </w:r>
      <w:r w:rsidRPr="00B95A11">
        <w:rPr>
          <w:rFonts w:ascii="Titillium" w:hAnsi="Titillium" w:cs="Arial"/>
          <w:b/>
          <w:sz w:val="18"/>
          <w:szCs w:val="18"/>
        </w:rPr>
        <w:t xml:space="preserve"> del presente Disciplinare</w:t>
      </w:r>
      <w:r w:rsidRPr="00B95A11">
        <w:rPr>
          <w:rFonts w:ascii="Titillium" w:hAnsi="Titillium" w:cs="Arial"/>
          <w:sz w:val="18"/>
          <w:szCs w:val="18"/>
        </w:rPr>
        <w:t>.</w:t>
      </w:r>
    </w:p>
    <w:p w14:paraId="1954E058" w14:textId="77777777" w:rsidR="00B95A11" w:rsidRPr="00B95A11" w:rsidRDefault="00B95A11" w:rsidP="00B95A11">
      <w:pPr>
        <w:rPr>
          <w:rFonts w:ascii="Titillium" w:eastAsia="Calibri" w:hAnsi="Titillium"/>
          <w:sz w:val="18"/>
          <w:szCs w:val="18"/>
          <w:lang w:eastAsia="it-IT"/>
        </w:rPr>
      </w:pPr>
      <w:r w:rsidRPr="00B95A11">
        <w:rPr>
          <w:rFonts w:ascii="Titillium" w:eastAsia="Calibri" w:hAnsi="Titillium"/>
          <w:sz w:val="18"/>
          <w:szCs w:val="18"/>
          <w:lang w:eastAsia="it-IT"/>
        </w:rPr>
        <w:t xml:space="preserve">Ai fini del soccorso istruttorio la stazione appaltante assegna al concorrente un termine </w:t>
      </w:r>
      <w:r w:rsidRPr="00B95A11">
        <w:rPr>
          <w:rFonts w:ascii="Titillium" w:eastAsia="Calibri" w:hAnsi="Titillium" w:cs="Arial"/>
          <w:sz w:val="18"/>
          <w:szCs w:val="18"/>
          <w:lang w:eastAsia="it-IT"/>
        </w:rPr>
        <w:t>non inferiore a cinque e non superiore a dieci giorni, affinché siano rese, integrate o regolarizzate le dichiarazioni necessarie, indicando il contenuto e i soggetti che le devono rendere, nonché la sezione della PAD dove deve essere inserita</w:t>
      </w:r>
      <w:r w:rsidRPr="00B95A11">
        <w:rPr>
          <w:rFonts w:ascii="Titillium" w:eastAsia="Calibri" w:hAnsi="Titillium"/>
          <w:sz w:val="18"/>
          <w:szCs w:val="18"/>
          <w:lang w:eastAsia="it-IT"/>
        </w:rPr>
        <w:t xml:space="preserve"> la documentazione richiesta. </w:t>
      </w:r>
    </w:p>
    <w:p w14:paraId="682F537A" w14:textId="77777777" w:rsidR="00B95A11" w:rsidRPr="00B95A11" w:rsidRDefault="00B95A11" w:rsidP="00B95A11">
      <w:pPr>
        <w:spacing w:before="60" w:after="60"/>
      </w:pPr>
      <w:r w:rsidRPr="00B95A11">
        <w:rPr>
          <w:rFonts w:ascii="Titillium" w:hAnsi="Titillium"/>
          <w:sz w:val="18"/>
          <w:szCs w:val="18"/>
        </w:rPr>
        <w:t>In caso di inutile decorso del termine, la stazione appaltante procede all’esclusione del concorrente dalla procedura.</w:t>
      </w:r>
    </w:p>
    <w:p w14:paraId="7AA26268" w14:textId="77777777" w:rsidR="00B95A11" w:rsidRPr="00B95A11" w:rsidRDefault="00B95A11" w:rsidP="00B95A11">
      <w:pPr>
        <w:spacing w:before="60" w:after="60"/>
        <w:rPr>
          <w:rFonts w:ascii="Titillium" w:hAnsi="Titillium"/>
          <w:sz w:val="18"/>
          <w:szCs w:val="18"/>
        </w:rPr>
      </w:pPr>
      <w:r w:rsidRPr="00B95A11">
        <w:rPr>
          <w:rFonts w:ascii="Titillium" w:hAnsi="Titillium"/>
          <w:sz w:val="18"/>
          <w:szCs w:val="18"/>
        </w:rPr>
        <w:lastRenderedPageBreak/>
        <w:t>Ove il concorrente produca dichiarazioni o documenti non perfettamente coerenti con la richiesta, la stazione appaltante può chiedere ulteriori precisazioni o chiarimenti, limitati alla documentazione presentata in fase di soccorso istruttorio, fissando un termine a pena di esclusione.</w:t>
      </w:r>
    </w:p>
    <w:p w14:paraId="42A62FFC" w14:textId="77777777" w:rsidR="00B95A11" w:rsidRPr="00B95A11" w:rsidRDefault="00B95A11" w:rsidP="00B95A11">
      <w:pPr>
        <w:spacing w:before="60" w:after="60"/>
        <w:rPr>
          <w:rFonts w:ascii="Titillium" w:hAnsi="Titillium"/>
          <w:sz w:val="18"/>
          <w:szCs w:val="18"/>
        </w:rPr>
      </w:pPr>
      <w:r w:rsidRPr="00B95A11">
        <w:rPr>
          <w:rFonts w:ascii="Titillium" w:hAnsi="Titillium"/>
          <w:sz w:val="18"/>
          <w:szCs w:val="18"/>
        </w:rPr>
        <w:t xml:space="preserve">La stazione appaltante può sempre chiedere chiarimenti sui contenuti dell’offerta tecnica e dell’offerta economica e su ogni loro allegato. </w:t>
      </w:r>
    </w:p>
    <w:p w14:paraId="7C8BA84A" w14:textId="77777777" w:rsidR="00B95A11" w:rsidRPr="00B95A11" w:rsidRDefault="00B95A11" w:rsidP="00B95A11">
      <w:pPr>
        <w:spacing w:before="60" w:after="60"/>
        <w:rPr>
          <w:rFonts w:ascii="Titillium" w:hAnsi="Titillium"/>
          <w:sz w:val="18"/>
          <w:szCs w:val="18"/>
        </w:rPr>
      </w:pPr>
      <w:r w:rsidRPr="00B95A11">
        <w:rPr>
          <w:rFonts w:ascii="Titillium" w:hAnsi="Titillium"/>
          <w:sz w:val="18"/>
          <w:szCs w:val="18"/>
        </w:rPr>
        <w:t>I chiarimenti resi dall’operatore economico non possono modificare il contenuto dell’offerta.</w:t>
      </w:r>
    </w:p>
    <w:p w14:paraId="01E7962D" w14:textId="5D610F20" w:rsidR="008E2A27" w:rsidRPr="004F0C14" w:rsidRDefault="00B95A11" w:rsidP="004F0C14">
      <w:pPr>
        <w:rPr>
          <w:rFonts w:ascii="Titillium" w:eastAsia="Calibri" w:hAnsi="Titillium" w:cs="Calibri"/>
          <w:b/>
          <w:color w:val="FF0000"/>
          <w:sz w:val="20"/>
          <w:szCs w:val="20"/>
        </w:rPr>
      </w:pPr>
      <w:r w:rsidRPr="00B95A11">
        <w:rPr>
          <w:rFonts w:ascii="Titillium" w:eastAsia="Calibri" w:hAnsi="Titillium" w:cs="Calibri"/>
          <w:b/>
          <w:color w:val="FF0000"/>
          <w:sz w:val="20"/>
          <w:szCs w:val="20"/>
        </w:rPr>
        <w:t xml:space="preserve">NOTA BENE: l'istituto del soccorso istruttorio non può essere utilizzato per l'acquisizione, in gara, di un requisito di partecipazione mancante alla scadenza del termine di presentazione dell'offerta. Pertanto, sarà disposta l'esclusione del concorrente che, entro il termine perentorio per la presentazione dell'offerta, non possieda i requisiti richiesti per la partecipazione alla gara. </w:t>
      </w:r>
    </w:p>
    <w:p w14:paraId="5D5AA837" w14:textId="7657B88F" w:rsidR="004C53A8" w:rsidRDefault="008D4D05" w:rsidP="008300A5">
      <w:pPr>
        <w:pStyle w:val="Titolo2"/>
        <w:numPr>
          <w:ilvl w:val="0"/>
          <w:numId w:val="3"/>
        </w:numPr>
        <w:ind w:left="357" w:hanging="357"/>
      </w:pPr>
      <w:bookmarkStart w:id="1634" w:name="_Toc89270295"/>
      <w:r>
        <w:rPr>
          <w:rFonts w:ascii="Titillium" w:hAnsi="Titillium"/>
          <w:sz w:val="18"/>
          <w:szCs w:val="18"/>
          <w:lang w:val="it-IT"/>
        </w:rPr>
        <w:t xml:space="preserve">DOMANDA DI PARTECIPAZIONe E </w:t>
      </w:r>
      <w:r w:rsidR="00870286">
        <w:rPr>
          <w:rFonts w:ascii="Titillium" w:hAnsi="Titillium"/>
          <w:sz w:val="18"/>
          <w:szCs w:val="18"/>
          <w:lang w:val="it-IT"/>
        </w:rPr>
        <w:t>DOCUMENTAZIONE AMMINISTRATIVA</w:t>
      </w:r>
      <w:bookmarkStart w:id="1635" w:name="_Ref481767076"/>
      <w:bookmarkStart w:id="1636" w:name="_Ref481767068"/>
      <w:bookmarkStart w:id="1637" w:name="_Toc354038186"/>
      <w:bookmarkStart w:id="1638" w:name="_Toc416423365"/>
      <w:bookmarkStart w:id="1639" w:name="_Toc406754180"/>
      <w:bookmarkStart w:id="1640" w:name="_Toc406058379"/>
      <w:bookmarkStart w:id="1641" w:name="_Toc403471273"/>
      <w:bookmarkStart w:id="1642" w:name="_Toc397422866"/>
      <w:bookmarkStart w:id="1643" w:name="_Toc397346825"/>
      <w:bookmarkStart w:id="1644" w:name="_Toc393706910"/>
      <w:bookmarkStart w:id="1645" w:name="_Toc393700837"/>
      <w:bookmarkStart w:id="1646" w:name="_Toc393283178"/>
      <w:bookmarkStart w:id="1647" w:name="_Toc393272662"/>
      <w:bookmarkStart w:id="1648" w:name="_Toc393272604"/>
      <w:bookmarkStart w:id="1649" w:name="_Toc393187848"/>
      <w:bookmarkStart w:id="1650" w:name="_Toc393112131"/>
      <w:bookmarkStart w:id="1651" w:name="_Toc393110567"/>
      <w:bookmarkStart w:id="1652" w:name="_Toc392577500"/>
      <w:bookmarkStart w:id="1653" w:name="_Toc391036059"/>
      <w:bookmarkStart w:id="1654" w:name="_Toc391035986"/>
      <w:bookmarkStart w:id="1655" w:name="_Toc38050187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p>
    <w:p w14:paraId="32F407DE" w14:textId="77777777" w:rsidR="00AC77A2" w:rsidRDefault="00AC77A2" w:rsidP="00AC77A2">
      <w:pPr>
        <w:spacing w:before="60" w:after="60"/>
        <w:rPr>
          <w:rStyle w:val="CollegamentoInternet"/>
          <w:rFonts w:ascii="Tahoma" w:eastAsia="SimSun" w:hAnsi="Tahoma" w:cs="Tahoma"/>
          <w:color w:val="0000FF"/>
          <w:kern w:val="2"/>
          <w:sz w:val="18"/>
          <w:szCs w:val="18"/>
          <w:lang w:eastAsia="zh-CN" w:bidi="hi-IN"/>
        </w:rPr>
      </w:pPr>
      <w:r w:rsidRPr="00831432">
        <w:rPr>
          <w:rFonts w:ascii="Titillium" w:hAnsi="Titillium" w:cs="Calibri"/>
          <w:sz w:val="18"/>
          <w:szCs w:val="18"/>
        </w:rPr>
        <w:t>Nella busta “Documentazione amministrativa” dovranno essere contenuti i seguenti documenti</w:t>
      </w:r>
      <w:r w:rsidRPr="00686D24">
        <w:rPr>
          <w:rFonts w:ascii="Titillium" w:hAnsi="Titillium" w:cs="Calibri"/>
          <w:sz w:val="18"/>
          <w:szCs w:val="18"/>
        </w:rPr>
        <w:t>, da inserire sulla piattaforma “SATER”, secondo le modalità indicate nelle guide per l’utilizzo della</w:t>
      </w:r>
      <w:r>
        <w:rPr>
          <w:rFonts w:ascii="Titillium" w:hAnsi="Titillium" w:cs="Calibri"/>
          <w:sz w:val="18"/>
          <w:szCs w:val="18"/>
        </w:rPr>
        <w:t xml:space="preserve"> </w:t>
      </w:r>
      <w:r w:rsidRPr="00686D24">
        <w:rPr>
          <w:rFonts w:ascii="Titillium" w:hAnsi="Titillium" w:cs="Calibri"/>
          <w:sz w:val="18"/>
          <w:szCs w:val="18"/>
        </w:rPr>
        <w:t>piattaforma, al</w:t>
      </w:r>
      <w:r>
        <w:rPr>
          <w:rFonts w:ascii="Titillium" w:hAnsi="Titillium" w:cs="Calibri"/>
          <w:sz w:val="18"/>
          <w:szCs w:val="18"/>
        </w:rPr>
        <w:t xml:space="preserve"> </w:t>
      </w:r>
      <w:r w:rsidRPr="00686D24">
        <w:rPr>
          <w:rFonts w:ascii="Titillium" w:hAnsi="Titillium" w:cs="Calibri"/>
          <w:sz w:val="18"/>
          <w:szCs w:val="18"/>
        </w:rPr>
        <w:t>seguente</w:t>
      </w:r>
      <w:r>
        <w:rPr>
          <w:rFonts w:ascii="Titillium" w:hAnsi="Titillium" w:cs="Calibri"/>
          <w:sz w:val="18"/>
          <w:szCs w:val="18"/>
        </w:rPr>
        <w:t xml:space="preserve"> </w:t>
      </w:r>
      <w:r w:rsidRPr="00930938">
        <w:rPr>
          <w:rFonts w:ascii="Titillium" w:hAnsi="Titillium" w:cs="Calibri"/>
          <w:sz w:val="18"/>
          <w:szCs w:val="18"/>
        </w:rPr>
        <w:t xml:space="preserve">link: </w:t>
      </w:r>
      <w:hyperlink r:id="rId22" w:history="1">
        <w:r w:rsidRPr="00E3476F">
          <w:rPr>
            <w:rStyle w:val="Collegamentoipertestuale"/>
            <w:rFonts w:ascii="Tahoma" w:eastAsia="SimSun" w:hAnsi="Tahoma" w:cs="Tahoma"/>
            <w:kern w:val="2"/>
            <w:sz w:val="18"/>
            <w:szCs w:val="18"/>
            <w:lang w:eastAsia="zh-CN" w:bidi="hi-IN"/>
          </w:rPr>
          <w:t>http://intercenter.regione.emilia-romagna.it/agenzia/utilizzo-del-sistema/guide/</w:t>
        </w:r>
      </w:hyperlink>
      <w:r w:rsidRPr="00930938">
        <w:rPr>
          <w:rStyle w:val="CollegamentoInternet"/>
          <w:rFonts w:ascii="Tahoma" w:eastAsia="SimSun" w:hAnsi="Tahoma" w:cs="Tahoma"/>
          <w:color w:val="0000FF"/>
          <w:kern w:val="2"/>
          <w:sz w:val="18"/>
          <w:szCs w:val="18"/>
          <w:lang w:eastAsia="zh-CN" w:bidi="hi-IN"/>
        </w:rPr>
        <w:t>:</w:t>
      </w:r>
    </w:p>
    <w:p w14:paraId="56DE9FBF" w14:textId="2B9A5C35" w:rsidR="00AC77A2" w:rsidRPr="008E6BB7" w:rsidRDefault="00AC77A2" w:rsidP="005D67CA">
      <w:pPr>
        <w:pStyle w:val="Paragrafoelenco"/>
        <w:numPr>
          <w:ilvl w:val="0"/>
          <w:numId w:val="38"/>
        </w:numPr>
        <w:spacing w:before="60" w:after="60"/>
        <w:ind w:left="426"/>
      </w:pPr>
      <w:r w:rsidRPr="00686D24">
        <w:rPr>
          <w:rFonts w:ascii="Titillium" w:hAnsi="Titillium" w:cs="Calibri"/>
          <w:sz w:val="18"/>
          <w:szCs w:val="18"/>
        </w:rPr>
        <w:t xml:space="preserve">Domanda di partecipazione e dichiarazioni </w:t>
      </w:r>
      <w:r w:rsidRPr="00C205FA">
        <w:rPr>
          <w:rFonts w:ascii="Titillium" w:hAnsi="Titillium" w:cs="Calibri"/>
          <w:sz w:val="18"/>
          <w:szCs w:val="18"/>
        </w:rPr>
        <w:t xml:space="preserve">integrative “Allegato </w:t>
      </w:r>
      <w:r w:rsidR="00C205FA" w:rsidRPr="00C205FA">
        <w:rPr>
          <w:rFonts w:ascii="Titillium" w:hAnsi="Titillium" w:cs="Calibri"/>
          <w:sz w:val="18"/>
          <w:szCs w:val="18"/>
        </w:rPr>
        <w:t>1</w:t>
      </w:r>
      <w:r w:rsidRPr="00C205FA">
        <w:rPr>
          <w:rFonts w:ascii="Titillium" w:hAnsi="Titillium" w:cs="Calibri"/>
          <w:sz w:val="18"/>
          <w:szCs w:val="18"/>
        </w:rPr>
        <w:t>”;</w:t>
      </w:r>
    </w:p>
    <w:p w14:paraId="35A342E5" w14:textId="77777777" w:rsidR="00AC77A2" w:rsidRPr="008E6BB7" w:rsidRDefault="00AC77A2" w:rsidP="005D67CA">
      <w:pPr>
        <w:pStyle w:val="Paragrafoelenco"/>
        <w:numPr>
          <w:ilvl w:val="0"/>
          <w:numId w:val="38"/>
        </w:numPr>
        <w:spacing w:before="60" w:after="60"/>
        <w:ind w:left="426"/>
      </w:pPr>
      <w:r w:rsidRPr="008E6BB7">
        <w:rPr>
          <w:rFonts w:ascii="Titillium" w:hAnsi="Titillium" w:cs="Calibri"/>
          <w:sz w:val="18"/>
          <w:szCs w:val="18"/>
        </w:rPr>
        <w:t xml:space="preserve">Documento di gara unico europeo (DGUE) e DGUE di eventuali ausiliarie, nonché quelli derivanti dalla partecipazione in forme plurisoggettive </w:t>
      </w:r>
      <w:r>
        <w:rPr>
          <w:rFonts w:ascii="Titillium" w:hAnsi="Titillium" w:cs="Calibri"/>
          <w:sz w:val="18"/>
          <w:szCs w:val="18"/>
        </w:rPr>
        <w:t>(da compilare sul SATE</w:t>
      </w:r>
      <w:r w:rsidRPr="006F41C2">
        <w:rPr>
          <w:rFonts w:ascii="Titillium" w:hAnsi="Titillium" w:cs="Calibri"/>
          <w:sz w:val="18"/>
          <w:szCs w:val="18"/>
        </w:rPr>
        <w:t>R);</w:t>
      </w:r>
    </w:p>
    <w:p w14:paraId="534A233B" w14:textId="77777777" w:rsidR="00AC77A2" w:rsidRPr="00B55692" w:rsidRDefault="00AC77A2" w:rsidP="005D67CA">
      <w:pPr>
        <w:pStyle w:val="Paragrafoelenco"/>
        <w:numPr>
          <w:ilvl w:val="0"/>
          <w:numId w:val="38"/>
        </w:numPr>
        <w:spacing w:before="60" w:after="60"/>
        <w:ind w:left="426"/>
      </w:pPr>
      <w:r w:rsidRPr="008E6BB7">
        <w:rPr>
          <w:rFonts w:ascii="Titillium" w:hAnsi="Titillium" w:cs="Calibri"/>
          <w:sz w:val="18"/>
          <w:szCs w:val="18"/>
        </w:rPr>
        <w:t>eventuale procura</w:t>
      </w:r>
      <w:r w:rsidRPr="00B55692">
        <w:rPr>
          <w:rFonts w:ascii="Titillium" w:hAnsi="Titillium" w:cs="Calibri"/>
          <w:sz w:val="18"/>
          <w:szCs w:val="18"/>
        </w:rPr>
        <w:t>;</w:t>
      </w:r>
    </w:p>
    <w:p w14:paraId="6AC09AC7" w14:textId="244386A4" w:rsidR="00AC77A2" w:rsidRPr="00EA5F93" w:rsidRDefault="00AC77A2" w:rsidP="005D67CA">
      <w:pPr>
        <w:pStyle w:val="Paragrafoelenco"/>
        <w:numPr>
          <w:ilvl w:val="0"/>
          <w:numId w:val="38"/>
        </w:numPr>
        <w:spacing w:before="60" w:after="60"/>
        <w:ind w:left="426"/>
      </w:pPr>
      <w:r w:rsidRPr="00B55692">
        <w:rPr>
          <w:rFonts w:ascii="Titillium" w:hAnsi="Titillium" w:cs="Calibri"/>
          <w:sz w:val="18"/>
          <w:szCs w:val="18"/>
        </w:rPr>
        <w:t>copia informatica della ricevuta di avvenuto pagamento del contributo all’ANAC;</w:t>
      </w:r>
    </w:p>
    <w:p w14:paraId="4864C51D" w14:textId="77777777" w:rsidR="00EA5F93" w:rsidRPr="009A490F" w:rsidRDefault="00EA5F93" w:rsidP="005D67CA">
      <w:pPr>
        <w:pStyle w:val="Paragrafoelenco"/>
        <w:numPr>
          <w:ilvl w:val="0"/>
          <w:numId w:val="38"/>
        </w:numPr>
        <w:spacing w:before="60" w:after="60"/>
        <w:ind w:left="426"/>
      </w:pPr>
      <w:r w:rsidRPr="00E03172">
        <w:rPr>
          <w:rFonts w:ascii="Titillium" w:hAnsi="Titillium" w:cs="Calibri"/>
          <w:sz w:val="18"/>
          <w:szCs w:val="18"/>
        </w:rPr>
        <w:t xml:space="preserve">ricevuta pagamento bollo € 16,00 nelle modalità indicate al paragrafo 15.1. </w:t>
      </w:r>
    </w:p>
    <w:p w14:paraId="4D9100F8" w14:textId="0F2EC973" w:rsidR="00EA5F93" w:rsidRDefault="00EA5F93" w:rsidP="005D67CA">
      <w:pPr>
        <w:pStyle w:val="Paragrafoelenco"/>
        <w:numPr>
          <w:ilvl w:val="0"/>
          <w:numId w:val="38"/>
        </w:numPr>
        <w:spacing w:before="60" w:after="60"/>
        <w:ind w:left="426"/>
        <w:rPr>
          <w:rFonts w:ascii="Titillium" w:hAnsi="Titillium" w:cs="Calibri"/>
          <w:sz w:val="18"/>
          <w:szCs w:val="18"/>
        </w:rPr>
      </w:pPr>
      <w:r w:rsidRPr="000E2397">
        <w:rPr>
          <w:rFonts w:ascii="Titillium" w:hAnsi="Titillium" w:cs="Calibri"/>
          <w:sz w:val="18"/>
          <w:szCs w:val="18"/>
        </w:rPr>
        <w:t>Patto d’integrità sottoscritto per accettazione.</w:t>
      </w:r>
    </w:p>
    <w:p w14:paraId="23D74FAA" w14:textId="77777777" w:rsidR="00D6347F" w:rsidRPr="00D6347F" w:rsidRDefault="00D6347F" w:rsidP="00D6347F">
      <w:pPr>
        <w:spacing w:before="60" w:after="60"/>
        <w:ind w:left="426"/>
        <w:rPr>
          <w:rFonts w:ascii="Calibri" w:hAnsi="Calibri" w:cs="Calibri"/>
          <w:b/>
          <w:color w:val="FF0000"/>
          <w:sz w:val="18"/>
          <w:szCs w:val="18"/>
        </w:rPr>
      </w:pPr>
      <w:r w:rsidRPr="00D6347F">
        <w:rPr>
          <w:rFonts w:ascii="Calibri" w:hAnsi="Calibri" w:cs="Calibri"/>
          <w:b/>
          <w:color w:val="FF0000"/>
          <w:sz w:val="18"/>
          <w:szCs w:val="18"/>
        </w:rPr>
        <w:t>Nel caso di partecipazione in associazione temporanea di imprese o consorzio ordinario non ancora costituiti, il Patto di Integrità deve essere sottoscritto da tutte le imprese dell’associazione, nel caso di partecipazione di un consorzio che designi una consorziata quale esecutrice, il Patto di integrità deve essere sottoscritto, oltre che dal Consorzio, anche dalla consorziata designata quale esecutrice.</w:t>
      </w:r>
    </w:p>
    <w:p w14:paraId="79FEAFE3" w14:textId="77777777" w:rsidR="00AC77A2" w:rsidRPr="00755052" w:rsidRDefault="00AC77A2" w:rsidP="005D67CA">
      <w:pPr>
        <w:pStyle w:val="Paragrafoelenco"/>
        <w:numPr>
          <w:ilvl w:val="0"/>
          <w:numId w:val="38"/>
        </w:numPr>
        <w:ind w:left="426"/>
        <w:rPr>
          <w:rFonts w:ascii="Titillium" w:hAnsi="Titillium" w:cs="Calibri"/>
          <w:sz w:val="18"/>
          <w:szCs w:val="18"/>
        </w:rPr>
      </w:pPr>
      <w:r w:rsidRPr="00755052">
        <w:rPr>
          <w:rFonts w:ascii="Titillium" w:hAnsi="Titillium" w:cs="Calibri"/>
          <w:sz w:val="18"/>
          <w:szCs w:val="18"/>
        </w:rPr>
        <w:t>eventuale documentazione in caso concordato preventivo con continuità aziendale</w:t>
      </w:r>
      <w:r>
        <w:rPr>
          <w:rFonts w:ascii="Titillium" w:hAnsi="Titillium" w:cs="Calibri"/>
          <w:sz w:val="18"/>
          <w:szCs w:val="18"/>
        </w:rPr>
        <w:t xml:space="preserve"> di cui al punto 15.2</w:t>
      </w:r>
      <w:r w:rsidRPr="00755052">
        <w:rPr>
          <w:rFonts w:ascii="Titillium" w:hAnsi="Titillium" w:cs="Calibri"/>
          <w:sz w:val="18"/>
          <w:szCs w:val="18"/>
        </w:rPr>
        <w:t>;</w:t>
      </w:r>
    </w:p>
    <w:p w14:paraId="560BD7BB" w14:textId="244763E9" w:rsidR="00AC77A2" w:rsidRPr="002635D9" w:rsidRDefault="00AC77A2" w:rsidP="005D67CA">
      <w:pPr>
        <w:pStyle w:val="Paragrafoelenco"/>
        <w:numPr>
          <w:ilvl w:val="0"/>
          <w:numId w:val="38"/>
        </w:numPr>
        <w:spacing w:before="60" w:after="60"/>
        <w:ind w:left="426"/>
      </w:pPr>
      <w:r>
        <w:rPr>
          <w:rFonts w:ascii="Titillium" w:hAnsi="Titillium" w:cs="Calibri"/>
          <w:sz w:val="18"/>
          <w:szCs w:val="18"/>
        </w:rPr>
        <w:t xml:space="preserve">eventuale </w:t>
      </w:r>
      <w:r w:rsidRPr="0001732D">
        <w:rPr>
          <w:rFonts w:ascii="Titillium" w:hAnsi="Titillium" w:cs="Calibri"/>
          <w:sz w:val="18"/>
          <w:szCs w:val="18"/>
        </w:rPr>
        <w:t>documentazione per i soggetti associat</w:t>
      </w:r>
      <w:r>
        <w:rPr>
          <w:rFonts w:ascii="Titillium" w:hAnsi="Titillium" w:cs="Calibri"/>
          <w:sz w:val="18"/>
          <w:szCs w:val="18"/>
        </w:rPr>
        <w:t>i di cui al punto 15.</w:t>
      </w:r>
      <w:r w:rsidR="00E211C3">
        <w:rPr>
          <w:rFonts w:ascii="Titillium" w:hAnsi="Titillium" w:cs="Calibri"/>
          <w:sz w:val="18"/>
          <w:szCs w:val="18"/>
        </w:rPr>
        <w:t>5</w:t>
      </w:r>
      <w:r w:rsidRPr="0001732D">
        <w:rPr>
          <w:rFonts w:ascii="Titillium" w:hAnsi="Titillium" w:cs="Calibri"/>
          <w:sz w:val="18"/>
          <w:szCs w:val="18"/>
        </w:rPr>
        <w:t>;</w:t>
      </w:r>
    </w:p>
    <w:p w14:paraId="772023F1" w14:textId="77777777" w:rsidR="002635D9" w:rsidRPr="002635D9" w:rsidRDefault="002635D9" w:rsidP="005D67CA">
      <w:pPr>
        <w:numPr>
          <w:ilvl w:val="0"/>
          <w:numId w:val="38"/>
        </w:numPr>
        <w:spacing w:before="60" w:after="60"/>
        <w:ind w:left="426"/>
        <w:rPr>
          <w:rFonts w:ascii="Titillium" w:hAnsi="Titillium" w:cs="Calibri"/>
          <w:sz w:val="18"/>
          <w:szCs w:val="18"/>
        </w:rPr>
      </w:pPr>
      <w:r w:rsidRPr="002635D9">
        <w:rPr>
          <w:rFonts w:ascii="Titillium" w:hAnsi="Titillium" w:cs="Calibri"/>
          <w:sz w:val="18"/>
          <w:szCs w:val="18"/>
        </w:rPr>
        <w:t xml:space="preserve">eventuale, per gli operatori economici che occupano più di 50 dipendenti – art. 46 del D.lgs. n. 198/2006 così come modificato dalla legge 5 novembre 2021, n. 162: copia dell’ultimo rapporto redatto sulla situazione del personale con attestazione della sua conformità a quello trasmesso alle rappresentanze sindacali aziendali, alla consigliera e al consigliere regionale di parità, oppure qualora gli operatori economici non abbiano trasmesso il suddetto rapporto nei termini di cui sopra, dovranno predisporlo e trasmetterlo contestualmente alla produzione in sede di gara anche alle rappresentanze sindacali aziendali, alla consigliera e al consigliere regionale di parità; si precisa che, in caso di partecipazione in forma associata, se ciascuna impresa versa in tale situazione, copia del predetto rapporto deve essere presentata da: </w:t>
      </w:r>
    </w:p>
    <w:p w14:paraId="270FDBA6" w14:textId="77777777" w:rsidR="002635D9" w:rsidRPr="002635D9" w:rsidRDefault="002635D9" w:rsidP="005D67CA">
      <w:pPr>
        <w:numPr>
          <w:ilvl w:val="0"/>
          <w:numId w:val="57"/>
        </w:numPr>
        <w:spacing w:before="60" w:after="60"/>
        <w:ind w:left="851"/>
        <w:contextualSpacing/>
        <w:rPr>
          <w:rFonts w:ascii="Titillium" w:hAnsi="Titillium" w:cs="Calibri"/>
          <w:b/>
          <w:bCs/>
          <w:color w:val="EE0000"/>
          <w:sz w:val="18"/>
          <w:szCs w:val="18"/>
        </w:rPr>
      </w:pPr>
      <w:r w:rsidRPr="002635D9">
        <w:rPr>
          <w:rFonts w:ascii="Titillium" w:hAnsi="Titillium" w:cs="Calibri"/>
          <w:b/>
          <w:bCs/>
          <w:color w:val="EE0000"/>
          <w:sz w:val="18"/>
          <w:szCs w:val="18"/>
        </w:rPr>
        <w:t>ciascuna delle imprese raggruppate/raggruppande, consorziate/consorziande (del Consorzio ordinario) o GEIE;</w:t>
      </w:r>
    </w:p>
    <w:p w14:paraId="266A35F7" w14:textId="77777777" w:rsidR="002635D9" w:rsidRPr="002635D9" w:rsidRDefault="002635D9" w:rsidP="005D67CA">
      <w:pPr>
        <w:numPr>
          <w:ilvl w:val="0"/>
          <w:numId w:val="57"/>
        </w:numPr>
        <w:spacing w:before="60" w:after="60"/>
        <w:ind w:left="851"/>
        <w:contextualSpacing/>
        <w:rPr>
          <w:rFonts w:ascii="Titillium" w:hAnsi="Titillium" w:cs="Calibri"/>
          <w:b/>
          <w:bCs/>
          <w:color w:val="EE0000"/>
          <w:sz w:val="18"/>
          <w:szCs w:val="18"/>
        </w:rPr>
      </w:pPr>
      <w:r w:rsidRPr="002635D9">
        <w:rPr>
          <w:rFonts w:ascii="Titillium" w:hAnsi="Titillium" w:cs="Calibri"/>
          <w:b/>
          <w:bCs/>
          <w:color w:val="EE0000"/>
          <w:sz w:val="18"/>
          <w:szCs w:val="18"/>
        </w:rPr>
        <w:t>ciascuna delle imprese aderenti al contratto di rete indicate come esecutrici e dalla rete medesima nel caso in cui questa abbia soggettività giuridica;</w:t>
      </w:r>
    </w:p>
    <w:p w14:paraId="53104FD7" w14:textId="7999AB3A" w:rsidR="002635D9" w:rsidRPr="002635D9" w:rsidRDefault="002635D9" w:rsidP="005D67CA">
      <w:pPr>
        <w:numPr>
          <w:ilvl w:val="0"/>
          <w:numId w:val="57"/>
        </w:numPr>
        <w:spacing w:before="60" w:after="60"/>
        <w:ind w:left="851"/>
        <w:contextualSpacing/>
        <w:rPr>
          <w:rFonts w:ascii="Titillium" w:hAnsi="Titillium" w:cs="Calibri"/>
          <w:b/>
          <w:bCs/>
          <w:color w:val="EE0000"/>
          <w:sz w:val="18"/>
          <w:szCs w:val="18"/>
        </w:rPr>
      </w:pPr>
      <w:r w:rsidRPr="002635D9">
        <w:rPr>
          <w:rFonts w:ascii="Titillium" w:hAnsi="Titillium" w:cs="Calibri"/>
          <w:b/>
          <w:bCs/>
          <w:color w:val="EE0000"/>
          <w:sz w:val="18"/>
          <w:szCs w:val="18"/>
        </w:rPr>
        <w:t>dal Consorzio (di cui alle lett. b), c) e d) del comma 2 art 65 del Codice) e dalle imprese consorziate indicate come esecutrici.</w:t>
      </w:r>
    </w:p>
    <w:p w14:paraId="113B8A6B" w14:textId="0BAB2710" w:rsidR="004C53A8" w:rsidRDefault="00870286" w:rsidP="008300A5">
      <w:pPr>
        <w:pStyle w:val="Titolo3"/>
        <w:numPr>
          <w:ilvl w:val="1"/>
          <w:numId w:val="3"/>
        </w:numPr>
        <w:ind w:left="426" w:hanging="426"/>
      </w:pPr>
      <w:bookmarkStart w:id="1656" w:name="_Toc497728162"/>
      <w:bookmarkStart w:id="1657" w:name="_Toc497484964"/>
      <w:bookmarkStart w:id="1658" w:name="_Toc498419754"/>
      <w:bookmarkStart w:id="1659" w:name="_Toc497831556"/>
      <w:bookmarkStart w:id="1660" w:name="_Toc497728161"/>
      <w:bookmarkStart w:id="1661" w:name="_Toc497484963"/>
      <w:bookmarkStart w:id="1662" w:name="_Toc498419755"/>
      <w:bookmarkStart w:id="1663" w:name="_Toc497831557"/>
      <w:bookmarkEnd w:id="1656"/>
      <w:bookmarkEnd w:id="1657"/>
      <w:bookmarkEnd w:id="1658"/>
      <w:bookmarkEnd w:id="1659"/>
      <w:bookmarkEnd w:id="1660"/>
      <w:bookmarkEnd w:id="1661"/>
      <w:bookmarkEnd w:id="1662"/>
      <w:bookmarkEnd w:id="1663"/>
      <w:r>
        <w:rPr>
          <w:rFonts w:ascii="Titillium" w:hAnsi="Titillium"/>
          <w:sz w:val="18"/>
          <w:szCs w:val="18"/>
          <w:lang w:val="it-IT"/>
        </w:rPr>
        <w:t xml:space="preserve"> </w:t>
      </w:r>
      <w:bookmarkStart w:id="1664" w:name="_Toc89270296"/>
      <w:r w:rsidR="004C667D">
        <w:rPr>
          <w:rFonts w:ascii="Titillium" w:hAnsi="Titillium"/>
          <w:caps w:val="0"/>
          <w:sz w:val="18"/>
          <w:szCs w:val="18"/>
          <w:lang w:val="it-IT"/>
        </w:rPr>
        <w:t>DOMANDA DI PARTECIPAZIONE ED EVENTUALE PROCURA</w:t>
      </w:r>
      <w:bookmarkEnd w:id="1664"/>
      <w:r w:rsidR="004C667D">
        <w:rPr>
          <w:rFonts w:ascii="Titillium" w:hAnsi="Titillium"/>
          <w:caps w:val="0"/>
          <w:sz w:val="18"/>
          <w:szCs w:val="18"/>
          <w:lang w:val="it-IT"/>
        </w:rPr>
        <w:t xml:space="preserve"> </w:t>
      </w:r>
    </w:p>
    <w:p w14:paraId="5C5C5BEA" w14:textId="77777777" w:rsidR="00D82576" w:rsidRDefault="00D82576" w:rsidP="00D82576">
      <w:pPr>
        <w:spacing w:before="60" w:after="60"/>
        <w:rPr>
          <w:rFonts w:ascii="Titillium" w:hAnsi="Titillium" w:cs="Calibri"/>
          <w:iCs/>
          <w:sz w:val="18"/>
          <w:szCs w:val="18"/>
        </w:rPr>
      </w:pPr>
      <w:r w:rsidRPr="00AF481C">
        <w:rPr>
          <w:rFonts w:ascii="Titillium" w:hAnsi="Titillium" w:cs="Calibri"/>
          <w:sz w:val="18"/>
          <w:szCs w:val="18"/>
        </w:rPr>
        <w:t>La domanda di partecipazione è redatta secondo il modello di cui all</w:t>
      </w:r>
      <w:r w:rsidRPr="00686242">
        <w:rPr>
          <w:rFonts w:ascii="Titillium" w:hAnsi="Titillium" w:cs="Calibri"/>
          <w:b/>
          <w:sz w:val="18"/>
          <w:szCs w:val="18"/>
        </w:rPr>
        <w:t xml:space="preserve">’Allegato </w:t>
      </w:r>
      <w:r>
        <w:rPr>
          <w:rFonts w:ascii="Titillium" w:hAnsi="Titillium" w:cs="Calibri"/>
          <w:b/>
          <w:sz w:val="18"/>
          <w:szCs w:val="18"/>
        </w:rPr>
        <w:t>1</w:t>
      </w:r>
      <w:r w:rsidRPr="00686242">
        <w:rPr>
          <w:rFonts w:ascii="Titillium" w:hAnsi="Titillium" w:cs="Calibri"/>
          <w:b/>
          <w:sz w:val="18"/>
          <w:szCs w:val="18"/>
        </w:rPr>
        <w:t xml:space="preserve"> </w:t>
      </w:r>
      <w:r>
        <w:rPr>
          <w:rFonts w:ascii="Titillium" w:hAnsi="Titillium" w:cs="Calibri"/>
          <w:sz w:val="18"/>
          <w:szCs w:val="18"/>
        </w:rPr>
        <w:t>al disciplinare</w:t>
      </w:r>
      <w:r w:rsidRPr="00AF481C">
        <w:rPr>
          <w:rFonts w:ascii="Titillium" w:hAnsi="Titillium" w:cs="Calibri"/>
          <w:iCs/>
          <w:sz w:val="18"/>
          <w:szCs w:val="18"/>
        </w:rPr>
        <w:t>.</w:t>
      </w:r>
    </w:p>
    <w:p w14:paraId="5E3F06BC" w14:textId="77777777" w:rsidR="00D82576" w:rsidRPr="0027213E" w:rsidRDefault="00D82576" w:rsidP="00D82576">
      <w:pPr>
        <w:spacing w:before="60" w:after="60"/>
        <w:rPr>
          <w:rFonts w:ascii="Titillium" w:hAnsi="Titillium" w:cs="Calibri"/>
          <w:iCs/>
          <w:sz w:val="18"/>
          <w:szCs w:val="18"/>
        </w:rPr>
      </w:pPr>
      <w:r w:rsidRPr="0027213E">
        <w:rPr>
          <w:rFonts w:ascii="Titillium" w:hAnsi="Titillium" w:cs="Calibri"/>
          <w:iCs/>
          <w:sz w:val="18"/>
          <w:szCs w:val="18"/>
        </w:rPr>
        <w:t>In conformità alla vigente normativa in tema di utilizzo di sistemi di intelligenza artificiale, nella domanda il concorrente è tenuto a dichiarare:</w:t>
      </w:r>
    </w:p>
    <w:p w14:paraId="32F23543" w14:textId="77777777" w:rsidR="00D82576" w:rsidRPr="0027213E" w:rsidRDefault="00D82576" w:rsidP="00D82576">
      <w:pPr>
        <w:spacing w:before="60" w:after="60"/>
        <w:rPr>
          <w:rFonts w:ascii="Titillium" w:hAnsi="Titillium" w:cs="Calibri"/>
          <w:iCs/>
          <w:sz w:val="18"/>
          <w:szCs w:val="18"/>
        </w:rPr>
      </w:pPr>
      <w:r w:rsidRPr="0027213E">
        <w:rPr>
          <w:rFonts w:ascii="Titillium" w:hAnsi="Titillium" w:cs="Calibri"/>
          <w:iCs/>
          <w:sz w:val="18"/>
          <w:szCs w:val="18"/>
        </w:rPr>
        <w:lastRenderedPageBreak/>
        <w:t>• se nell’elaborazione dell’offerta tecnica si è avvalso dei sistemi di intelligenza artificiale, garantendo che l’uso di tali sistemi è avvenuto nel pieno rispetto del Regolamento UE 2024/1689, della legge n. 132 del 2025 e della vigente normativa sul trattamento e protezione dei dati (Regolamento UE 2016/679, decreto legislativo 196/2003);</w:t>
      </w:r>
    </w:p>
    <w:p w14:paraId="10F21273" w14:textId="77777777" w:rsidR="00D82576" w:rsidRPr="00AF481C" w:rsidRDefault="00D82576" w:rsidP="00D82576">
      <w:pPr>
        <w:spacing w:before="60" w:after="60"/>
        <w:rPr>
          <w:rFonts w:ascii="Titillium" w:hAnsi="Titillium" w:cs="Calibri"/>
          <w:iCs/>
          <w:sz w:val="18"/>
          <w:szCs w:val="18"/>
        </w:rPr>
      </w:pPr>
      <w:r w:rsidRPr="0027213E">
        <w:rPr>
          <w:rFonts w:ascii="Titillium" w:hAnsi="Titillium" w:cs="Calibri"/>
          <w:iCs/>
          <w:sz w:val="18"/>
          <w:szCs w:val="18"/>
        </w:rPr>
        <w:t>• se, in caso di aggiudicazione dell’appalto, si avvarrà di sistemi di intelligenza artificiale ai fini dell’esecuzione della prestazione impegnandosi ad assicurare il rispetto delle medesime condizioni e garantendo l’osservanza del medesimo Regolamento UE 2024/1689, della legge n. 132 del 2025 e della normativa sul trattamento e protezione dei dati.</w:t>
      </w:r>
    </w:p>
    <w:p w14:paraId="31BA87B7" w14:textId="77777777" w:rsidR="00D82576" w:rsidRDefault="00D82576" w:rsidP="00D82576">
      <w:pPr>
        <w:spacing w:before="60" w:after="60"/>
        <w:rPr>
          <w:rFonts w:ascii="Titillium" w:hAnsi="Titillium" w:cs="Calibri"/>
          <w:sz w:val="18"/>
          <w:szCs w:val="18"/>
        </w:rPr>
      </w:pPr>
    </w:p>
    <w:p w14:paraId="5BF54B53" w14:textId="77777777" w:rsidR="00D82576" w:rsidRPr="00AF481C" w:rsidRDefault="00D82576" w:rsidP="00D82576">
      <w:pPr>
        <w:spacing w:before="60" w:after="60"/>
        <w:rPr>
          <w:rFonts w:ascii="Titillium" w:hAnsi="Titillium"/>
          <w:sz w:val="18"/>
          <w:szCs w:val="18"/>
        </w:rPr>
      </w:pPr>
      <w:r w:rsidRPr="00AF481C">
        <w:rPr>
          <w:rFonts w:ascii="Titillium" w:hAnsi="Titillium" w:cs="Calibri"/>
          <w:sz w:val="18"/>
          <w:szCs w:val="18"/>
        </w:rPr>
        <w:t>La domanda e le relative dichiarazioni sono sottoscritte</w:t>
      </w:r>
      <w:r w:rsidRPr="00AF481C">
        <w:rPr>
          <w:rFonts w:ascii="Titillium" w:hAnsi="Titillium"/>
          <w:sz w:val="18"/>
          <w:szCs w:val="18"/>
        </w:rPr>
        <w:t xml:space="preserve"> </w:t>
      </w:r>
      <w:r w:rsidRPr="00AF481C">
        <w:rPr>
          <w:rFonts w:ascii="Titillium" w:hAnsi="Titillium" w:cs="Calibri"/>
          <w:sz w:val="18"/>
          <w:szCs w:val="18"/>
        </w:rPr>
        <w:t>ai sensi del decreto legislativo n. 82/2005:</w:t>
      </w:r>
    </w:p>
    <w:p w14:paraId="6C5792CE" w14:textId="77777777" w:rsidR="00D82576" w:rsidRPr="00AF481C" w:rsidRDefault="00D82576" w:rsidP="00D82576">
      <w:pPr>
        <w:pStyle w:val="Paragrafoelenco"/>
        <w:numPr>
          <w:ilvl w:val="0"/>
          <w:numId w:val="6"/>
        </w:numPr>
        <w:spacing w:before="60" w:after="60"/>
        <w:ind w:left="426" w:hanging="284"/>
        <w:rPr>
          <w:rFonts w:ascii="Titillium" w:hAnsi="Titillium"/>
          <w:sz w:val="18"/>
          <w:szCs w:val="18"/>
        </w:rPr>
      </w:pPr>
      <w:r w:rsidRPr="00AF481C">
        <w:rPr>
          <w:rFonts w:ascii="Titillium" w:hAnsi="Titillium" w:cs="Calibri"/>
          <w:sz w:val="18"/>
          <w:szCs w:val="18"/>
        </w:rPr>
        <w:t>dal concorrente che partecipa in forma singola;</w:t>
      </w:r>
    </w:p>
    <w:p w14:paraId="76A7D900" w14:textId="77777777" w:rsidR="00D82576" w:rsidRPr="00AF481C" w:rsidRDefault="00D82576" w:rsidP="00D82576">
      <w:pPr>
        <w:pStyle w:val="Paragrafoelenco"/>
        <w:numPr>
          <w:ilvl w:val="0"/>
          <w:numId w:val="6"/>
        </w:numPr>
        <w:spacing w:before="60" w:after="60"/>
        <w:ind w:left="426" w:hanging="284"/>
        <w:rPr>
          <w:rFonts w:ascii="Titillium" w:hAnsi="Titillium"/>
          <w:sz w:val="18"/>
          <w:szCs w:val="18"/>
        </w:rPr>
      </w:pPr>
      <w:r w:rsidRPr="00AF481C">
        <w:rPr>
          <w:rFonts w:ascii="Titillium" w:hAnsi="Titillium" w:cs="Calibri"/>
          <w:sz w:val="18"/>
          <w:szCs w:val="18"/>
        </w:rPr>
        <w:t>nel caso di raggruppamento temporaneo o consorzio ordinario o GEIE costituiti, dalla mandataria/capofila;</w:t>
      </w:r>
    </w:p>
    <w:p w14:paraId="203CD20F" w14:textId="77777777" w:rsidR="00D82576" w:rsidRPr="00AF481C" w:rsidRDefault="00D82576" w:rsidP="00D82576">
      <w:pPr>
        <w:pStyle w:val="Paragrafoelenco"/>
        <w:numPr>
          <w:ilvl w:val="0"/>
          <w:numId w:val="6"/>
        </w:numPr>
        <w:spacing w:before="60" w:after="60"/>
        <w:ind w:left="426" w:hanging="284"/>
        <w:rPr>
          <w:rFonts w:ascii="Titillium" w:hAnsi="Titillium"/>
          <w:sz w:val="18"/>
          <w:szCs w:val="18"/>
        </w:rPr>
      </w:pPr>
      <w:r w:rsidRPr="00AF481C">
        <w:rPr>
          <w:rFonts w:ascii="Titillium" w:hAnsi="Titillium" w:cs="Calibri"/>
          <w:sz w:val="18"/>
          <w:szCs w:val="18"/>
        </w:rPr>
        <w:t>nel caso di raggruppamento temporaneo o consorzio ordinario o GEIE non ancora costituiti, da tutti i soggetti che costituiranno il raggruppamento o il consorzio o il gruppo;</w:t>
      </w:r>
    </w:p>
    <w:p w14:paraId="58534311" w14:textId="77777777" w:rsidR="00D82576" w:rsidRPr="00AF481C" w:rsidRDefault="00D82576" w:rsidP="00D82576">
      <w:pPr>
        <w:pStyle w:val="Paragrafoelenco"/>
        <w:numPr>
          <w:ilvl w:val="0"/>
          <w:numId w:val="6"/>
        </w:numPr>
        <w:spacing w:before="60" w:after="60"/>
        <w:ind w:left="426" w:hanging="284"/>
        <w:rPr>
          <w:rFonts w:ascii="Titillium" w:hAnsi="Titillium" w:cs="Calibri"/>
          <w:sz w:val="18"/>
          <w:szCs w:val="18"/>
        </w:rPr>
      </w:pPr>
      <w:r w:rsidRPr="00AF481C">
        <w:rPr>
          <w:rFonts w:ascii="Titillium" w:hAnsi="Titillium" w:cs="Calibri"/>
          <w:sz w:val="18"/>
          <w:szCs w:val="18"/>
        </w:rPr>
        <w:t>nel caso di aggregazioni di retisti:</w:t>
      </w:r>
    </w:p>
    <w:p w14:paraId="0D40D72B" w14:textId="77777777" w:rsidR="00D82576" w:rsidRPr="00AF481C" w:rsidRDefault="00D82576" w:rsidP="00D82576">
      <w:pPr>
        <w:numPr>
          <w:ilvl w:val="4"/>
          <w:numId w:val="2"/>
        </w:numPr>
        <w:spacing w:before="60" w:after="60"/>
        <w:ind w:left="709" w:hanging="283"/>
        <w:rPr>
          <w:rFonts w:ascii="Titillium" w:hAnsi="Titillium"/>
          <w:sz w:val="18"/>
          <w:szCs w:val="18"/>
        </w:rPr>
      </w:pPr>
      <w:r w:rsidRPr="00AF481C">
        <w:rPr>
          <w:rFonts w:ascii="Titillium" w:hAnsi="Titillium" w:cs="Calibri"/>
          <w:sz w:val="18"/>
          <w:szCs w:val="18"/>
        </w:rPr>
        <w:t>se la rete è dotata di un organo comune con potere di rappresentanza e con soggettività giuridica, ai sensi dell’articolo 3, comma 4-</w:t>
      </w:r>
      <w:r w:rsidRPr="00AF481C">
        <w:rPr>
          <w:rFonts w:ascii="Titillium" w:hAnsi="Titillium" w:cs="Calibri"/>
          <w:i/>
          <w:sz w:val="18"/>
          <w:szCs w:val="18"/>
        </w:rPr>
        <w:t>quater</w:t>
      </w:r>
      <w:r w:rsidRPr="00AF481C">
        <w:rPr>
          <w:rFonts w:ascii="Titillium" w:hAnsi="Titillium" w:cs="Calibri"/>
          <w:sz w:val="18"/>
          <w:szCs w:val="18"/>
        </w:rPr>
        <w:t>, del decreto-legge 10 febbraio 2009, n. 5, la domanda di partecipazione deve essere sottoscritta dal solo operatore economico che riveste la funzione di organo comune;</w:t>
      </w:r>
    </w:p>
    <w:p w14:paraId="0B8B46FE" w14:textId="77777777" w:rsidR="00D82576" w:rsidRPr="00AF481C" w:rsidRDefault="00D82576" w:rsidP="00D82576">
      <w:pPr>
        <w:numPr>
          <w:ilvl w:val="4"/>
          <w:numId w:val="2"/>
        </w:numPr>
        <w:spacing w:before="60" w:after="60"/>
        <w:ind w:left="709" w:hanging="283"/>
        <w:rPr>
          <w:rFonts w:ascii="Titillium" w:hAnsi="Titillium"/>
          <w:sz w:val="18"/>
          <w:szCs w:val="18"/>
        </w:rPr>
      </w:pPr>
      <w:r w:rsidRPr="00AF481C">
        <w:rPr>
          <w:rFonts w:ascii="Titillium" w:hAnsi="Titillium" w:cs="Calibri"/>
          <w:sz w:val="18"/>
          <w:szCs w:val="18"/>
          <w:lang w:eastAsia="it-IT"/>
        </w:rPr>
        <w:t>se la rete è dotata di un organo comune con potere di rappresentanza ma è priva di soggettività giuridica, ai sensi dell’articolo 3, comma 4-</w:t>
      </w:r>
      <w:r w:rsidRPr="00AF481C">
        <w:rPr>
          <w:rFonts w:ascii="Titillium" w:hAnsi="Titillium" w:cs="Calibri"/>
          <w:i/>
          <w:sz w:val="18"/>
          <w:szCs w:val="18"/>
          <w:lang w:eastAsia="it-IT"/>
        </w:rPr>
        <w:t>quater</w:t>
      </w:r>
      <w:r w:rsidRPr="00AF481C">
        <w:rPr>
          <w:rFonts w:ascii="Titillium" w:hAnsi="Titillium" w:cs="Calibri"/>
          <w:sz w:val="18"/>
          <w:szCs w:val="18"/>
          <w:lang w:eastAsia="it-IT"/>
        </w:rPr>
        <w:t xml:space="preserve">, del decreto-legge 10 febbraio 2009, n. 5, la domanda di partecipazione deve essere sottoscritta </w:t>
      </w:r>
      <w:r w:rsidRPr="00AF481C">
        <w:rPr>
          <w:rFonts w:ascii="Titillium" w:hAnsi="Titillium" w:cs="Calibri"/>
          <w:sz w:val="18"/>
          <w:szCs w:val="18"/>
        </w:rPr>
        <w:t>dal</w:t>
      </w:r>
      <w:r w:rsidRPr="00AF481C">
        <w:rPr>
          <w:rFonts w:ascii="Titillium" w:hAnsi="Titillium" w:cs="Calibri"/>
          <w:sz w:val="18"/>
          <w:szCs w:val="18"/>
          <w:lang w:eastAsia="it-IT"/>
        </w:rPr>
        <w:t xml:space="preserve">l’impresa che riveste le funzioni di organo comune nonché da ognuno dei retisti che partecipa alla gara; </w:t>
      </w:r>
    </w:p>
    <w:p w14:paraId="792F44DA" w14:textId="77777777" w:rsidR="00D82576" w:rsidRPr="00AF481C" w:rsidRDefault="00D82576" w:rsidP="00D82576">
      <w:pPr>
        <w:numPr>
          <w:ilvl w:val="4"/>
          <w:numId w:val="2"/>
        </w:numPr>
        <w:spacing w:before="60" w:after="60"/>
        <w:ind w:left="709" w:hanging="283"/>
        <w:rPr>
          <w:rFonts w:ascii="Titillium" w:hAnsi="Titillium"/>
          <w:sz w:val="18"/>
          <w:szCs w:val="18"/>
        </w:rPr>
      </w:pPr>
      <w:r w:rsidRPr="00AF481C">
        <w:rPr>
          <w:rFonts w:ascii="Titillium" w:hAnsi="Titillium" w:cs="Calibri"/>
          <w:sz w:val="18"/>
          <w:szCs w:val="18"/>
          <w:lang w:eastAsia="it-IT"/>
        </w:rPr>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25716372" w14:textId="77777777" w:rsidR="00D82576" w:rsidRPr="00AF481C" w:rsidRDefault="00D82576" w:rsidP="00D82576">
      <w:pPr>
        <w:spacing w:before="60" w:after="60"/>
        <w:ind w:left="426" w:hanging="256"/>
        <w:rPr>
          <w:rFonts w:ascii="Titillium" w:hAnsi="Titillium"/>
          <w:sz w:val="18"/>
          <w:szCs w:val="18"/>
        </w:rPr>
      </w:pPr>
      <w:r w:rsidRPr="00AF481C">
        <w:rPr>
          <w:rFonts w:ascii="Titillium" w:hAnsi="Titillium" w:cs="Arial"/>
          <w:sz w:val="18"/>
          <w:szCs w:val="18"/>
        </w:rPr>
        <w:t xml:space="preserve">- </w:t>
      </w:r>
      <w:r w:rsidRPr="00AF481C">
        <w:rPr>
          <w:rFonts w:ascii="Titillium" w:hAnsi="Titillium" w:cs="Arial"/>
          <w:sz w:val="18"/>
          <w:szCs w:val="18"/>
        </w:rPr>
        <w:tab/>
        <w:t>nel</w:t>
      </w:r>
      <w:r w:rsidRPr="00AF481C">
        <w:rPr>
          <w:rFonts w:ascii="Titillium" w:hAnsi="Titillium" w:cs="Calibri"/>
          <w:sz w:val="18"/>
          <w:szCs w:val="18"/>
          <w:lang w:eastAsia="it-IT"/>
        </w:rPr>
        <w:t xml:space="preserve"> caso di consorzio di cooperative e imprese artigiane o di consorzio stabile di cui all’articolo 65, comma 2, lettera b), c) e d) del Codice, </w:t>
      </w:r>
      <w:r w:rsidRPr="00AF481C">
        <w:rPr>
          <w:rFonts w:ascii="Titillium" w:hAnsi="Titillium" w:cs="Calibri"/>
          <w:sz w:val="18"/>
          <w:szCs w:val="18"/>
        </w:rPr>
        <w:t>la domanda è sottoscritta</w:t>
      </w:r>
      <w:r w:rsidRPr="00AF481C">
        <w:rPr>
          <w:rFonts w:ascii="Titillium" w:hAnsi="Titillium" w:cs="Calibri"/>
          <w:sz w:val="18"/>
          <w:szCs w:val="18"/>
          <w:lang w:eastAsia="it-IT"/>
        </w:rPr>
        <w:t xml:space="preserve"> digitalmente dal consorzio medesimo.</w:t>
      </w:r>
    </w:p>
    <w:p w14:paraId="0A00D6D2" w14:textId="77777777" w:rsidR="00D82576" w:rsidRPr="00AF481C" w:rsidRDefault="00D82576" w:rsidP="00D82576">
      <w:pPr>
        <w:rPr>
          <w:rFonts w:ascii="Titillium" w:hAnsi="Titillium"/>
          <w:iCs/>
          <w:sz w:val="18"/>
          <w:szCs w:val="18"/>
        </w:rPr>
      </w:pPr>
      <w:r w:rsidRPr="00AF481C">
        <w:rPr>
          <w:rFonts w:ascii="Titillium" w:hAnsi="Titillium"/>
          <w:sz w:val="18"/>
          <w:szCs w:val="18"/>
        </w:rPr>
        <w:t>La domanda e le relative dichiarazioni sono firmate dal legale rappresentante del concorrente o da un suo procuratore munito della relativa procura</w:t>
      </w:r>
      <w:r w:rsidRPr="00AF481C">
        <w:rPr>
          <w:rFonts w:ascii="Titillium" w:hAnsi="Titillium"/>
          <w:b/>
          <w:sz w:val="18"/>
          <w:szCs w:val="18"/>
        </w:rPr>
        <w:t xml:space="preserve">. </w:t>
      </w:r>
      <w:r w:rsidRPr="00AF481C">
        <w:rPr>
          <w:rFonts w:ascii="Titillium" w:hAnsi="Titillium"/>
          <w:sz w:val="18"/>
          <w:szCs w:val="18"/>
        </w:rPr>
        <w:t xml:space="preserve">In tal caso, il concorrente allega alla domanda copia conforme all’originale della procura. </w:t>
      </w:r>
      <w:r w:rsidRPr="00AF481C">
        <w:rPr>
          <w:rFonts w:ascii="Titillium" w:hAnsi="Titillium"/>
          <w:iCs/>
          <w:sz w:val="18"/>
          <w:szCs w:val="18"/>
        </w:rPr>
        <w:t>Non è necessario allegare la procura se dalla visura camerale del concorrente risulti l’indicazione espressa dei poteri rappresentativi conferiti al procuratore.</w:t>
      </w:r>
    </w:p>
    <w:p w14:paraId="5D3DF7ED" w14:textId="77777777" w:rsidR="00D82576" w:rsidRPr="001359E9" w:rsidRDefault="00D82576" w:rsidP="00D82576">
      <w:pPr>
        <w:pStyle w:val="Paragrafoelenco"/>
        <w:shd w:val="clear" w:color="auto" w:fill="E2EFD9" w:themeFill="accent6" w:themeFillTint="33"/>
        <w:spacing w:before="120" w:after="120"/>
        <w:ind w:left="0"/>
        <w:rPr>
          <w:rFonts w:ascii="Titillium" w:hAnsi="Titillium"/>
          <w:sz w:val="18"/>
          <w:szCs w:val="18"/>
        </w:rPr>
      </w:pPr>
      <w:r w:rsidRPr="001359E9">
        <w:rPr>
          <w:rFonts w:ascii="Titillium" w:hAnsi="Titillium"/>
          <w:sz w:val="18"/>
          <w:szCs w:val="18"/>
        </w:rPr>
        <w:t xml:space="preserve">La domanda di partecipazione deve essere presentata nel rispetto di quanto stabilito dal Decreto del Presidente della Repubblica n. 642/72 in ordine all’assolvimento dell’imposta di bollo. Il pagamento della suddetta imposta del valore di € 16,00 viene effettuato, ai sensi di quanto stabilito dal Provvedimento n. 240013 del 28 giugno 2023 dell'Agenzia delle Entrate e successiva Circolare n.22 del 28 luglio 2023, </w:t>
      </w:r>
      <w:r w:rsidRPr="001359E9">
        <w:rPr>
          <w:rFonts w:ascii="Titillium" w:hAnsi="Titillium"/>
          <w:b/>
          <w:bCs/>
          <w:sz w:val="18"/>
          <w:szCs w:val="18"/>
        </w:rPr>
        <w:t>tramite il modello “F24 Versamenti con elementi identificativi” (F24 ELIDE)"</w:t>
      </w:r>
      <w:r w:rsidRPr="001359E9">
        <w:rPr>
          <w:rFonts w:ascii="Titillium" w:hAnsi="Titillium"/>
          <w:sz w:val="18"/>
          <w:szCs w:val="18"/>
        </w:rPr>
        <w:t xml:space="preserve">. Il modello di versamento deve contenere l’indicazione dei codici fiscali delle parti e del Codice Identificativo di Gara (CIG). È possibile reperire il modello al seguente link: </w:t>
      </w:r>
    </w:p>
    <w:p w14:paraId="2D5D1D6F" w14:textId="77777777" w:rsidR="00D82576" w:rsidRPr="001359E9" w:rsidRDefault="00D82576" w:rsidP="00D82576">
      <w:pPr>
        <w:pStyle w:val="Paragrafoelenco"/>
        <w:shd w:val="clear" w:color="auto" w:fill="E2EFD9" w:themeFill="accent6" w:themeFillTint="33"/>
        <w:spacing w:before="120" w:after="120"/>
        <w:ind w:left="0"/>
        <w:rPr>
          <w:rFonts w:ascii="Titillium" w:hAnsi="Titillium"/>
          <w:sz w:val="18"/>
          <w:szCs w:val="18"/>
        </w:rPr>
      </w:pPr>
      <w:hyperlink r:id="rId23" w:history="1">
        <w:r w:rsidRPr="001359E9">
          <w:rPr>
            <w:rStyle w:val="Collegamentoipertestuale"/>
            <w:rFonts w:ascii="Titillium" w:hAnsi="Titillium"/>
            <w:sz w:val="18"/>
            <w:szCs w:val="18"/>
          </w:rPr>
          <w:t>https://www.agenziaentrate.gov.it/portale/documents/20143/251856/Modello+F24+identificativi+nuovo_Modello+F24+elementi+identif.pdf/0f618835-9fe0-7c8e-47a3-3bec74b8571d</w:t>
        </w:r>
      </w:hyperlink>
      <w:r w:rsidRPr="001359E9">
        <w:rPr>
          <w:rFonts w:ascii="Titillium" w:hAnsi="Titillium"/>
          <w:sz w:val="18"/>
          <w:szCs w:val="18"/>
        </w:rPr>
        <w:t xml:space="preserve"> </w:t>
      </w:r>
    </w:p>
    <w:p w14:paraId="683EF919" w14:textId="77777777" w:rsidR="00D82576" w:rsidRPr="001359E9" w:rsidRDefault="00D82576" w:rsidP="00D82576">
      <w:pPr>
        <w:pStyle w:val="Paragrafoelenco"/>
        <w:shd w:val="clear" w:color="auto" w:fill="E2EFD9" w:themeFill="accent6" w:themeFillTint="33"/>
        <w:spacing w:before="120" w:after="120"/>
        <w:ind w:left="0"/>
        <w:rPr>
          <w:rFonts w:ascii="Titillium" w:hAnsi="Titillium"/>
          <w:sz w:val="18"/>
          <w:szCs w:val="18"/>
        </w:rPr>
      </w:pPr>
      <w:r w:rsidRPr="001359E9">
        <w:rPr>
          <w:rFonts w:ascii="Titillium" w:hAnsi="Titillium"/>
          <w:sz w:val="18"/>
          <w:szCs w:val="18"/>
        </w:rPr>
        <w:t xml:space="preserve">Il codice tributo è </w:t>
      </w:r>
      <w:r w:rsidRPr="001359E9">
        <w:rPr>
          <w:rFonts w:ascii="Titillium" w:hAnsi="Titillium"/>
          <w:b/>
          <w:bCs/>
          <w:sz w:val="18"/>
          <w:szCs w:val="18"/>
        </w:rPr>
        <w:t>1573</w:t>
      </w:r>
      <w:r w:rsidRPr="001359E9">
        <w:rPr>
          <w:rFonts w:ascii="Titillium" w:hAnsi="Titillium"/>
          <w:sz w:val="18"/>
          <w:szCs w:val="18"/>
        </w:rPr>
        <w:t>.</w:t>
      </w:r>
    </w:p>
    <w:p w14:paraId="52E722C0" w14:textId="77777777" w:rsidR="00D82576" w:rsidRPr="001359E9" w:rsidRDefault="00D82576" w:rsidP="00D82576">
      <w:pPr>
        <w:pStyle w:val="Paragrafoelenco"/>
        <w:shd w:val="clear" w:color="auto" w:fill="E2EFD9" w:themeFill="accent6" w:themeFillTint="33"/>
        <w:spacing w:before="120" w:after="120"/>
        <w:ind w:left="0"/>
        <w:rPr>
          <w:rFonts w:ascii="Titillium" w:hAnsi="Titillium"/>
          <w:sz w:val="18"/>
          <w:szCs w:val="18"/>
        </w:rPr>
      </w:pPr>
      <w:r w:rsidRPr="001359E9">
        <w:rPr>
          <w:rFonts w:ascii="Titillium" w:hAnsi="Titillium"/>
          <w:sz w:val="18"/>
          <w:szCs w:val="18"/>
        </w:rPr>
        <w:t xml:space="preserve">codice identificativo “40” (stazione appaltante) </w:t>
      </w:r>
    </w:p>
    <w:p w14:paraId="082D0475" w14:textId="77777777" w:rsidR="00D82576" w:rsidRPr="001359E9" w:rsidRDefault="00D82576" w:rsidP="00D82576">
      <w:pPr>
        <w:pStyle w:val="Paragrafoelenco"/>
        <w:shd w:val="clear" w:color="auto" w:fill="E2EFD9" w:themeFill="accent6" w:themeFillTint="33"/>
        <w:spacing w:before="120" w:after="120"/>
        <w:ind w:left="0"/>
        <w:rPr>
          <w:rFonts w:ascii="Titillium" w:hAnsi="Titillium"/>
          <w:sz w:val="18"/>
          <w:szCs w:val="18"/>
        </w:rPr>
      </w:pPr>
      <w:r w:rsidRPr="001359E9">
        <w:rPr>
          <w:rFonts w:ascii="Titillium" w:hAnsi="Titillium"/>
          <w:sz w:val="18"/>
          <w:szCs w:val="18"/>
        </w:rPr>
        <w:t xml:space="preserve">campo “tipo”, la lettera “R” </w:t>
      </w:r>
    </w:p>
    <w:p w14:paraId="4210B4C6" w14:textId="77777777" w:rsidR="00D82576" w:rsidRPr="001359E9" w:rsidRDefault="00D82576" w:rsidP="00D82576">
      <w:pPr>
        <w:pStyle w:val="Paragrafoelenco"/>
        <w:shd w:val="clear" w:color="auto" w:fill="E2EFD9" w:themeFill="accent6" w:themeFillTint="33"/>
        <w:spacing w:before="120" w:after="120"/>
        <w:ind w:left="0"/>
        <w:rPr>
          <w:rFonts w:ascii="Titillium" w:hAnsi="Titillium"/>
          <w:sz w:val="18"/>
          <w:szCs w:val="18"/>
        </w:rPr>
      </w:pPr>
      <w:r w:rsidRPr="001359E9">
        <w:rPr>
          <w:rFonts w:ascii="Titillium" w:hAnsi="Titillium"/>
          <w:sz w:val="18"/>
          <w:szCs w:val="18"/>
        </w:rPr>
        <w:t xml:space="preserve">A comprova del pagamento, il concorrente allega </w:t>
      </w:r>
      <w:r w:rsidRPr="001359E9">
        <w:rPr>
          <w:rFonts w:ascii="Titillium" w:hAnsi="Titillium"/>
          <w:b/>
          <w:sz w:val="18"/>
          <w:szCs w:val="18"/>
        </w:rPr>
        <w:t>Modello F24 pagato e la ricevuta di invio reperibile nella sezione “Ricevute” del sito dell’Agenzia delle Entrate</w:t>
      </w:r>
    </w:p>
    <w:p w14:paraId="15F3F995" w14:textId="77777777" w:rsidR="00D82576" w:rsidRPr="001359E9" w:rsidRDefault="00D82576" w:rsidP="00D82576">
      <w:pPr>
        <w:pStyle w:val="Paragrafoelenco"/>
        <w:shd w:val="clear" w:color="auto" w:fill="E2EFD9" w:themeFill="accent6" w:themeFillTint="33"/>
        <w:spacing w:before="60" w:after="60"/>
        <w:ind w:left="0"/>
        <w:rPr>
          <w:rFonts w:ascii="Titillium" w:hAnsi="Titillium"/>
          <w:sz w:val="18"/>
          <w:szCs w:val="18"/>
        </w:rPr>
      </w:pPr>
      <w:r w:rsidRPr="001359E9">
        <w:rPr>
          <w:rFonts w:ascii="Titillium" w:hAnsi="Titillium"/>
          <w:sz w:val="18"/>
          <w:szCs w:val="18"/>
        </w:rPr>
        <w:t>Per gli operatori economici esteri tramite il pagamento del tributo con bonifico utilizzando il codice Iban IT07Y0100003245348008120501 e specificando nella causale la propria denominazione, codice fiscale (se presente) e gli estremi dell'atto a cui si riferisce il pagamento.</w:t>
      </w:r>
    </w:p>
    <w:p w14:paraId="4BBA80F3" w14:textId="77777777" w:rsidR="00D82576" w:rsidRDefault="00D82576" w:rsidP="00D82576">
      <w:pPr>
        <w:rPr>
          <w:rFonts w:ascii="Calibri" w:hAnsi="Calibri" w:cs="Calibri"/>
          <w:sz w:val="18"/>
          <w:szCs w:val="18"/>
        </w:rPr>
      </w:pPr>
    </w:p>
    <w:p w14:paraId="2D1F9382" w14:textId="4CF1D07B" w:rsidR="00357FF6" w:rsidRPr="00357FF6" w:rsidRDefault="00D82576" w:rsidP="00D82576">
      <w:pPr>
        <w:pStyle w:val="Paragrafoelenco"/>
        <w:spacing w:before="60" w:after="60"/>
        <w:ind w:left="0"/>
        <w:rPr>
          <w:rFonts w:ascii="Titillium" w:hAnsi="Titillium" w:cs="Calibri"/>
          <w:sz w:val="18"/>
          <w:szCs w:val="18"/>
          <w:lang w:bidi="it-IT"/>
        </w:rPr>
      </w:pPr>
      <w:r w:rsidRPr="001359E9">
        <w:rPr>
          <w:rFonts w:ascii="Titillium" w:hAnsi="Titillium" w:cs="Calibri"/>
          <w:sz w:val="18"/>
          <w:szCs w:val="18"/>
        </w:rPr>
        <w:t xml:space="preserve">Le stazioni appaltanti considerano le esenzioni dal pagamento dell'imposta di bollo di cui al  </w:t>
      </w:r>
      <w:hyperlink r:id="rId24" w:tgtFrame="_blank">
        <w:r w:rsidRPr="001359E9">
          <w:rPr>
            <w:rStyle w:val="Collegamentoipertestuale"/>
            <w:rFonts w:ascii="Titillium" w:hAnsi="Titillium" w:cs="Calibri"/>
            <w:sz w:val="18"/>
            <w:szCs w:val="18"/>
          </w:rPr>
          <w:t>Decreto del Presidente della Repubblica n. 642/72, allegato B e al Decreto legislativo  n. 117/17, articolo 82</w:t>
        </w:r>
      </w:hyperlink>
      <w:r w:rsidR="006C5876" w:rsidRPr="006C5876">
        <w:rPr>
          <w:rFonts w:ascii="Titillium" w:eastAsia="Times New Roman" w:hAnsi="Titillium"/>
          <w:i/>
          <w:sz w:val="18"/>
          <w:szCs w:val="18"/>
          <w:lang w:eastAsia="en-US"/>
        </w:rPr>
        <w:t>.</w:t>
      </w:r>
    </w:p>
    <w:p w14:paraId="2761DFA7" w14:textId="77777777" w:rsidR="00220E4E" w:rsidRPr="00220E4E" w:rsidRDefault="00220E4E" w:rsidP="00220E4E">
      <w:pPr>
        <w:keepNext/>
        <w:numPr>
          <w:ilvl w:val="1"/>
          <w:numId w:val="3"/>
        </w:numPr>
        <w:spacing w:before="240" w:after="60"/>
        <w:ind w:left="426" w:hanging="426"/>
        <w:outlineLvl w:val="2"/>
        <w:rPr>
          <w:b/>
          <w:bCs/>
          <w:caps/>
          <w:sz w:val="22"/>
          <w:szCs w:val="26"/>
          <w:lang w:val="x-none"/>
        </w:rPr>
      </w:pPr>
      <w:bookmarkStart w:id="1665" w:name="_Toc4164233711"/>
      <w:bookmarkStart w:id="1666" w:name="_Toc4067541881"/>
      <w:bookmarkStart w:id="1667" w:name="_Toc4060583871"/>
      <w:bookmarkStart w:id="1668" w:name="_Toc4034712791"/>
      <w:bookmarkStart w:id="1669" w:name="_Toc3974228721"/>
      <w:bookmarkStart w:id="1670" w:name="_Toc3973468311"/>
      <w:bookmarkStart w:id="1671" w:name="_Toc3937069161"/>
      <w:bookmarkStart w:id="1672" w:name="_Toc3937008431"/>
      <w:bookmarkStart w:id="1673" w:name="_Toc3932831841"/>
      <w:bookmarkStart w:id="1674" w:name="_Toc3932726681"/>
      <w:bookmarkStart w:id="1675" w:name="_Toc3932726101"/>
      <w:bookmarkStart w:id="1676" w:name="_Toc3931878541"/>
      <w:bookmarkStart w:id="1677" w:name="_Toc3931121371"/>
      <w:bookmarkStart w:id="1678" w:name="_Toc3931105731"/>
      <w:bookmarkStart w:id="1679" w:name="_Toc3925775061"/>
      <w:bookmarkStart w:id="1680" w:name="_Toc3910360651"/>
      <w:bookmarkStart w:id="1681" w:name="_Toc3910359921"/>
      <w:bookmarkStart w:id="1682" w:name="_Toc3805018791"/>
      <w:bookmarkStart w:id="1683" w:name="_Toc609251781"/>
      <w:bookmarkStart w:id="1684" w:name="_Ref4984219821"/>
      <w:bookmarkStart w:id="1685" w:name="_Toc484688330"/>
      <w:bookmarkStart w:id="1686" w:name="_Toc484605461"/>
      <w:bookmarkStart w:id="1687" w:name="_Toc484605337"/>
      <w:bookmarkStart w:id="1688" w:name="_Toc484526617"/>
      <w:bookmarkStart w:id="1689" w:name="_Toc484449122"/>
      <w:bookmarkStart w:id="1690" w:name="_Toc484448998"/>
      <w:bookmarkStart w:id="1691" w:name="_Toc484448874"/>
      <w:bookmarkStart w:id="1692" w:name="_Toc484448751"/>
      <w:bookmarkStart w:id="1693" w:name="_Toc484448627"/>
      <w:bookmarkStart w:id="1694" w:name="_Toc484448503"/>
      <w:bookmarkStart w:id="1695" w:name="_Toc484448379"/>
      <w:bookmarkStart w:id="1696" w:name="_Toc484448255"/>
      <w:bookmarkStart w:id="1697" w:name="_Toc484448130"/>
      <w:bookmarkStart w:id="1698" w:name="_Toc484440471"/>
      <w:bookmarkStart w:id="1699" w:name="_Toc484440111"/>
      <w:bookmarkStart w:id="1700" w:name="_Toc484439987"/>
      <w:bookmarkStart w:id="1701" w:name="_Toc484439864"/>
      <w:bookmarkStart w:id="1702" w:name="_Toc484438944"/>
      <w:bookmarkStart w:id="1703" w:name="_Toc484438820"/>
      <w:bookmarkStart w:id="1704" w:name="_Toc484438696"/>
      <w:bookmarkStart w:id="1705" w:name="_Toc484429121"/>
      <w:bookmarkStart w:id="1706" w:name="_Toc484428951"/>
      <w:bookmarkStart w:id="1707" w:name="_Toc484097779"/>
      <w:bookmarkStart w:id="1708" w:name="_Toc484011705"/>
      <w:bookmarkStart w:id="1709" w:name="_Toc484011230"/>
      <w:bookmarkStart w:id="1710" w:name="_Toc484011108"/>
      <w:bookmarkStart w:id="1711" w:name="_Toc484010986"/>
      <w:bookmarkStart w:id="1712" w:name="_Toc484010862"/>
      <w:bookmarkStart w:id="1713" w:name="_Toc484010740"/>
      <w:bookmarkStart w:id="1714" w:name="_Toc483906990"/>
      <w:bookmarkStart w:id="1715" w:name="_Toc483571613"/>
      <w:bookmarkStart w:id="1716" w:name="_Toc483571492"/>
      <w:bookmarkStart w:id="1717" w:name="_Toc483474063"/>
      <w:bookmarkStart w:id="1718" w:name="_Toc483401266"/>
      <w:bookmarkStart w:id="1719" w:name="_Toc483325787"/>
      <w:bookmarkStart w:id="1720" w:name="_Toc483316484"/>
      <w:bookmarkStart w:id="1721" w:name="_Toc483316353"/>
      <w:bookmarkStart w:id="1722" w:name="_Toc483316221"/>
      <w:bookmarkStart w:id="1723" w:name="_Toc483316016"/>
      <w:bookmarkStart w:id="1724" w:name="_Toc483302395"/>
      <w:bookmarkStart w:id="1725" w:name="_Toc485218321"/>
      <w:bookmarkStart w:id="1726" w:name="_Toc484688885"/>
      <w:bookmarkStart w:id="1727" w:name="_Toc139549439"/>
      <w:bookmarkStart w:id="1728" w:name="_Ref484611693"/>
      <w:bookmarkStart w:id="1729" w:name="_Ref484611690"/>
      <w:bookmarkStart w:id="1730" w:name="_Toc89270297"/>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r w:rsidRPr="00220E4E">
        <w:rPr>
          <w:rFonts w:ascii="Titillium" w:hAnsi="Titillium"/>
          <w:b/>
          <w:bCs/>
          <w:caps/>
          <w:sz w:val="18"/>
          <w:szCs w:val="18"/>
          <w:lang w:val="x-none"/>
        </w:rPr>
        <w:t>DICHIARAZION</w:t>
      </w:r>
      <w:r w:rsidRPr="00220E4E">
        <w:rPr>
          <w:rFonts w:ascii="Titillium" w:hAnsi="Titillium"/>
          <w:b/>
          <w:bCs/>
          <w:caps/>
          <w:sz w:val="18"/>
          <w:szCs w:val="18"/>
        </w:rPr>
        <w:t xml:space="preserve">I DA RENDERE A CURA DEGLI </w:t>
      </w:r>
      <w:r w:rsidRPr="00220E4E">
        <w:rPr>
          <w:rFonts w:ascii="Titillium" w:hAnsi="Titillium"/>
          <w:b/>
          <w:bCs/>
          <w:caps/>
          <w:sz w:val="18"/>
          <w:szCs w:val="18"/>
          <w:lang w:val="x-none"/>
        </w:rPr>
        <w:t xml:space="preserve"> OPERATORI ECONOMICI AMMESSI AL CONCORDATO PREVENTIVO CON CONTINUITÀ AZIENDALE DI CUI ALL’ARTICOLO </w:t>
      </w:r>
      <w:r w:rsidRPr="00220E4E">
        <w:rPr>
          <w:rFonts w:ascii="Titillium" w:hAnsi="Titillium"/>
          <w:b/>
          <w:bCs/>
          <w:caps/>
          <w:sz w:val="18"/>
          <w:szCs w:val="18"/>
        </w:rPr>
        <w:t xml:space="preserve">372 del </w:t>
      </w:r>
      <w:r w:rsidRPr="00220E4E">
        <w:rPr>
          <w:rFonts w:ascii="Titillium" w:hAnsi="Titillium"/>
          <w:b/>
          <w:bCs/>
          <w:sz w:val="18"/>
          <w:szCs w:val="18"/>
        </w:rPr>
        <w:t>DECRETO LEGISLATIVO 12 GENNAIO 2019 , n. 14</w:t>
      </w:r>
      <w:bookmarkEnd w:id="1727"/>
    </w:p>
    <w:p w14:paraId="55F35F0F" w14:textId="77777777" w:rsidR="00BF019E" w:rsidRPr="00BF019E" w:rsidRDefault="00BF019E" w:rsidP="00BF019E">
      <w:pPr>
        <w:spacing w:before="60" w:after="60"/>
        <w:rPr>
          <w:rFonts w:ascii="Titillium" w:hAnsi="Titillium" w:cs="Calibri"/>
          <w:sz w:val="18"/>
          <w:szCs w:val="18"/>
        </w:rPr>
      </w:pPr>
      <w:r w:rsidRPr="00BF019E">
        <w:rPr>
          <w:rFonts w:ascii="Titillium" w:hAnsi="Titillium" w:cs="Calibri"/>
          <w:sz w:val="18"/>
          <w:szCs w:val="18"/>
        </w:rPr>
        <w:t>Nella domanda di partecipazione, il concorrente dichiara ai sensi degli articoli 46 e 47 del decreto del Presidente della Repubblica n. 445/2000 gli estremi del provvedimento di ammissione al concordato e del provvedimento di autorizzazione a partecipare alle gare, nonché dichiara che le altre imprese aderenti al raggruppamento non sono assoggettate ad una procedura concorsuale, ai sensi dell’articolo 95, commi 4 e 5, del decreto legislativo n. 14/2019.</w:t>
      </w:r>
    </w:p>
    <w:p w14:paraId="245612A5" w14:textId="469CFDBA" w:rsidR="00220E4E" w:rsidRPr="00220E4E" w:rsidRDefault="00BF019E" w:rsidP="00BF019E">
      <w:pPr>
        <w:spacing w:before="60" w:after="60"/>
      </w:pPr>
      <w:r w:rsidRPr="00BF019E">
        <w:rPr>
          <w:rFonts w:ascii="Titillium" w:hAnsi="Titillium" w:cs="Calibri"/>
          <w:sz w:val="18"/>
          <w:szCs w:val="18"/>
        </w:rPr>
        <w:t>Il concorrente presenta una relazione di un professionista in possesso dei requisiti di cui all'articolo 2, comma 1, lettera o) del decreto legislativo succitato che attesta la conformità al piano e la ragionevole capacità di adempimento del contratto.</w:t>
      </w:r>
    </w:p>
    <w:p w14:paraId="3A2A0C0C" w14:textId="77777777" w:rsidR="004870D6" w:rsidRPr="004870D6" w:rsidRDefault="004870D6" w:rsidP="004870D6">
      <w:pPr>
        <w:keepNext/>
        <w:keepLines/>
        <w:numPr>
          <w:ilvl w:val="1"/>
          <w:numId w:val="3"/>
        </w:numPr>
        <w:spacing w:before="160" w:after="80"/>
        <w:ind w:left="426" w:hanging="426"/>
        <w:outlineLvl w:val="2"/>
        <w:rPr>
          <w:rFonts w:ascii="Titillium" w:hAnsi="Titillium"/>
          <w:b/>
          <w:bCs/>
          <w:caps/>
          <w:sz w:val="18"/>
          <w:szCs w:val="18"/>
        </w:rPr>
      </w:pPr>
      <w:bookmarkStart w:id="1731" w:name="_Toc224543661"/>
      <w:bookmarkStart w:id="1732" w:name="_Toc139549441"/>
      <w:r w:rsidRPr="004870D6">
        <w:rPr>
          <w:rFonts w:ascii="Titillium" w:hAnsi="Titillium"/>
          <w:b/>
          <w:bCs/>
          <w:caps/>
          <w:sz w:val="18"/>
          <w:szCs w:val="18"/>
        </w:rPr>
        <w:t>DICHIARAZIONI DA RENDERE NEL DGUE</w:t>
      </w:r>
      <w:bookmarkEnd w:id="1731"/>
    </w:p>
    <w:p w14:paraId="7A1D0A84" w14:textId="77777777" w:rsidR="004870D6" w:rsidRPr="004870D6" w:rsidRDefault="004870D6" w:rsidP="004870D6">
      <w:pPr>
        <w:spacing w:before="60" w:after="60"/>
        <w:rPr>
          <w:rFonts w:ascii="Titillium" w:hAnsi="Titillium" w:cs="Calibri"/>
          <w:sz w:val="18"/>
          <w:szCs w:val="18"/>
        </w:rPr>
      </w:pPr>
      <w:r w:rsidRPr="004870D6">
        <w:rPr>
          <w:rFonts w:ascii="Titillium" w:hAnsi="Titillium" w:cs="Calibri"/>
          <w:sz w:val="18"/>
          <w:szCs w:val="18"/>
        </w:rPr>
        <w:t>Le dichiarazioni in ordine all’insussistenza delle cause automatiche di esclusione di cui all’articolo 94, commi 1 e 2, del Codice sono rese dall’operatore economico nel DGUE, redatto digitalmente a sistema, in relazione a tutti i soggetti indicati al comma 3.</w:t>
      </w:r>
    </w:p>
    <w:p w14:paraId="472958D9" w14:textId="77777777" w:rsidR="004870D6" w:rsidRPr="004870D6" w:rsidRDefault="004870D6" w:rsidP="004870D6">
      <w:pPr>
        <w:spacing w:before="60" w:after="60"/>
        <w:rPr>
          <w:rFonts w:ascii="Titillium" w:hAnsi="Titillium" w:cs="Calibri"/>
          <w:sz w:val="18"/>
          <w:szCs w:val="18"/>
        </w:rPr>
      </w:pPr>
      <w:r w:rsidRPr="004870D6">
        <w:rPr>
          <w:rFonts w:ascii="Titillium" w:hAnsi="Titillium" w:cs="Calibri"/>
          <w:sz w:val="18"/>
          <w:szCs w:val="18"/>
        </w:rPr>
        <w:t>Le dichiarazioni in ordine all’insussistenza delle cause non automatiche di esclusione di cui all’articolo 98, comma 3, lettere g) ed h) del Codice sono rese dall’operatore economico in relazione ai soggetti di cui al punto precedente.</w:t>
      </w:r>
    </w:p>
    <w:p w14:paraId="18425015" w14:textId="77777777" w:rsidR="004870D6" w:rsidRPr="004870D6" w:rsidRDefault="004870D6" w:rsidP="004870D6">
      <w:pPr>
        <w:spacing w:before="60" w:after="60"/>
        <w:rPr>
          <w:rFonts w:ascii="Titillium" w:hAnsi="Titillium" w:cs="Calibri"/>
          <w:sz w:val="18"/>
          <w:szCs w:val="18"/>
        </w:rPr>
      </w:pPr>
      <w:r w:rsidRPr="004870D6">
        <w:rPr>
          <w:rFonts w:ascii="Titillium" w:hAnsi="Titillium" w:cs="Calibri"/>
          <w:sz w:val="18"/>
          <w:szCs w:val="18"/>
        </w:rPr>
        <w:t>Le dichiarazioni in ordine all’insussistenza delle altre cause di esclusione sono rese in relazione all’operatore economico.</w:t>
      </w:r>
    </w:p>
    <w:p w14:paraId="4306E189" w14:textId="77777777" w:rsidR="004870D6" w:rsidRPr="004870D6" w:rsidRDefault="004870D6" w:rsidP="004870D6">
      <w:pPr>
        <w:spacing w:before="60" w:after="60"/>
        <w:rPr>
          <w:rFonts w:ascii="Titillium" w:hAnsi="Titillium" w:cs="Calibri"/>
          <w:sz w:val="18"/>
          <w:szCs w:val="18"/>
        </w:rPr>
      </w:pPr>
      <w:r w:rsidRPr="004870D6">
        <w:rPr>
          <w:rFonts w:ascii="Titillium" w:hAnsi="Titillium" w:cs="Calibri"/>
          <w:sz w:val="18"/>
          <w:szCs w:val="18"/>
        </w:rPr>
        <w:t>Con riferimento alle cause di esclusione di cui all’articolo 95 del Codice, il concorrente dichiara:</w:t>
      </w:r>
    </w:p>
    <w:p w14:paraId="7A072F8A" w14:textId="77777777" w:rsidR="004870D6" w:rsidRPr="004870D6" w:rsidRDefault="004870D6" w:rsidP="004870D6">
      <w:pPr>
        <w:numPr>
          <w:ilvl w:val="0"/>
          <w:numId w:val="5"/>
        </w:numPr>
        <w:spacing w:before="60" w:after="60"/>
        <w:ind w:left="426"/>
        <w:rPr>
          <w:rFonts w:ascii="Titillium" w:hAnsi="Titillium" w:cs="Calibri"/>
          <w:sz w:val="18"/>
          <w:szCs w:val="18"/>
        </w:rPr>
      </w:pPr>
      <w:r w:rsidRPr="004870D6">
        <w:rPr>
          <w:rFonts w:ascii="Titillium" w:hAnsi="Titillium" w:cs="Calibri"/>
          <w:sz w:val="18"/>
          <w:szCs w:val="18"/>
        </w:rPr>
        <w:t xml:space="preserve">le gravi infrazioni di cui all’articolo 95, comma 1, lettera a) del Codice commesse nei tre anni antecedenti la data di pubblicazione del bando di gara; </w:t>
      </w:r>
    </w:p>
    <w:p w14:paraId="00B7BB1F" w14:textId="77777777" w:rsidR="004870D6" w:rsidRPr="004870D6" w:rsidRDefault="004870D6" w:rsidP="004870D6">
      <w:pPr>
        <w:numPr>
          <w:ilvl w:val="0"/>
          <w:numId w:val="5"/>
        </w:numPr>
        <w:spacing w:before="60" w:after="60"/>
        <w:ind w:left="426"/>
        <w:rPr>
          <w:rFonts w:ascii="Titillium" w:hAnsi="Titillium" w:cs="Calibri"/>
          <w:sz w:val="18"/>
          <w:szCs w:val="18"/>
        </w:rPr>
      </w:pPr>
      <w:r w:rsidRPr="004870D6">
        <w:rPr>
          <w:rFonts w:ascii="Titillium" w:hAnsi="Titillium" w:cs="Calibri"/>
          <w:sz w:val="18"/>
          <w:szCs w:val="18"/>
        </w:rPr>
        <w:t>gli atti e i provvedimenti indicati all’articolo 98 comma 6 del codice emessi nei tre anni antecedenti la data di pubblicazione del bando di gara;</w:t>
      </w:r>
    </w:p>
    <w:p w14:paraId="23923CA6" w14:textId="77777777" w:rsidR="004870D6" w:rsidRPr="004870D6" w:rsidRDefault="004870D6" w:rsidP="004870D6">
      <w:pPr>
        <w:numPr>
          <w:ilvl w:val="0"/>
          <w:numId w:val="5"/>
        </w:numPr>
        <w:spacing w:before="60" w:after="60"/>
        <w:ind w:left="426"/>
        <w:rPr>
          <w:rFonts w:ascii="Titillium" w:hAnsi="Titillium" w:cs="Calibri"/>
          <w:sz w:val="18"/>
          <w:szCs w:val="18"/>
        </w:rPr>
      </w:pPr>
      <w:r w:rsidRPr="004870D6">
        <w:rPr>
          <w:rFonts w:ascii="Titillium" w:hAnsi="Titillium" w:cs="Calibri"/>
          <w:sz w:val="18"/>
          <w:szCs w:val="18"/>
        </w:rPr>
        <w:t>tutti gli altri comportamenti di cui all’articolo 98 del Codice, commessi nei tre anni antecedenti la data di pubblicazione del bando di gara.</w:t>
      </w:r>
    </w:p>
    <w:p w14:paraId="3C2D8279" w14:textId="77777777" w:rsidR="004870D6" w:rsidRPr="004870D6" w:rsidRDefault="004870D6" w:rsidP="004870D6">
      <w:pPr>
        <w:spacing w:before="60" w:after="60"/>
        <w:rPr>
          <w:rFonts w:ascii="Titillium" w:hAnsi="Titillium" w:cs="Calibri"/>
          <w:sz w:val="18"/>
          <w:szCs w:val="18"/>
        </w:rPr>
      </w:pPr>
      <w:r w:rsidRPr="004870D6">
        <w:rPr>
          <w:rFonts w:ascii="Titillium" w:hAnsi="Titillium" w:cs="Calibri"/>
          <w:sz w:val="18"/>
          <w:szCs w:val="18"/>
        </w:rPr>
        <w:t>La dichiarazione di cui sopra deve essere resa anche nel caso di impugnazione in giudizio dei relativi provvedimenti, fatta eccezione per la fattispecie di cui all’ articolo 98, comma 3, lett. e), per la quale va resa soltanto in caso di accertamento definitivo della violazione.</w:t>
      </w:r>
    </w:p>
    <w:p w14:paraId="38F33CF4" w14:textId="77777777" w:rsidR="004870D6" w:rsidRPr="004870D6" w:rsidRDefault="004870D6" w:rsidP="004870D6">
      <w:pPr>
        <w:spacing w:before="60" w:after="60"/>
        <w:rPr>
          <w:rFonts w:ascii="Titillium" w:hAnsi="Titillium" w:cs="Calibri"/>
          <w:sz w:val="18"/>
          <w:szCs w:val="18"/>
        </w:rPr>
      </w:pPr>
      <w:r w:rsidRPr="004870D6">
        <w:rPr>
          <w:rFonts w:ascii="Titillium" w:hAnsi="Titillium" w:cs="Calibri"/>
          <w:sz w:val="18"/>
          <w:szCs w:val="18"/>
        </w:rPr>
        <w:t>L’operatore economico dichiara la sussistenza delle cause di esclusione che si sono verificate prima della presentazione dell’offerta e indica le misure di self-cleaning adottate, oppure dimostra l’impossibilità di adottare tali misure prima della presentazione dell’offerta.</w:t>
      </w:r>
    </w:p>
    <w:p w14:paraId="66762877" w14:textId="77777777" w:rsidR="004870D6" w:rsidRPr="004870D6" w:rsidRDefault="004870D6" w:rsidP="004870D6">
      <w:pPr>
        <w:spacing w:before="60" w:after="60"/>
        <w:rPr>
          <w:rFonts w:ascii="Titillium" w:hAnsi="Titillium" w:cs="Calibri"/>
          <w:sz w:val="18"/>
          <w:szCs w:val="18"/>
        </w:rPr>
      </w:pPr>
      <w:r w:rsidRPr="004870D6">
        <w:rPr>
          <w:rFonts w:ascii="Titillium" w:hAnsi="Titillium" w:cs="Calibri"/>
          <w:sz w:val="18"/>
          <w:szCs w:val="18"/>
        </w:rPr>
        <w:t>L’operatore economico adotta le misure di self-cleaning che è stato impossibilitato ad adottare prima della presentazione dell’offerta e quelle relative a cause di esclusione che si sono verificate dopo tale momento.</w:t>
      </w:r>
    </w:p>
    <w:p w14:paraId="06E98205" w14:textId="5DFB568A" w:rsidR="009E737E" w:rsidRPr="009E737E" w:rsidRDefault="004870D6" w:rsidP="004870D6">
      <w:pPr>
        <w:keepNext/>
        <w:spacing w:before="240" w:after="60"/>
        <w:outlineLvl w:val="2"/>
        <w:rPr>
          <w:rFonts w:ascii="Titillium" w:hAnsi="Titillium"/>
          <w:b/>
          <w:bCs/>
          <w:caps/>
          <w:sz w:val="18"/>
          <w:szCs w:val="18"/>
          <w:lang w:val="x-none"/>
        </w:rPr>
      </w:pPr>
      <w:r w:rsidRPr="004870D6">
        <w:rPr>
          <w:rFonts w:ascii="Titillium" w:hAnsi="Titillium" w:cs="Calibri"/>
          <w:sz w:val="18"/>
          <w:szCs w:val="18"/>
        </w:rPr>
        <w:t>Se l’operatore economico omette di comunicare alla stazione appaltante la sussistenza dei fatti e dei provvedimenti che possono costituire una causa di esclusione ai sensi degli articoli 94 e 95 del Codice e detti fatti o provvedimenti non risultino nel FVOE, il triennio inizia a decorrere dalla data in cui la stazione appaltante ha acquisito gli stessi, anziché dalla commissione del fatto o dall’adozione del provvedimento</w:t>
      </w:r>
    </w:p>
    <w:p w14:paraId="673C58A7" w14:textId="08F05495" w:rsidR="00220E4E" w:rsidRPr="00220E4E" w:rsidRDefault="00220E4E" w:rsidP="00220E4E">
      <w:pPr>
        <w:keepNext/>
        <w:numPr>
          <w:ilvl w:val="1"/>
          <w:numId w:val="3"/>
        </w:numPr>
        <w:spacing w:before="240" w:after="60"/>
        <w:ind w:left="426" w:hanging="426"/>
        <w:outlineLvl w:val="2"/>
        <w:rPr>
          <w:rFonts w:ascii="Titillium" w:hAnsi="Titillium"/>
          <w:b/>
          <w:bCs/>
          <w:caps/>
          <w:sz w:val="18"/>
          <w:szCs w:val="18"/>
          <w:lang w:val="x-none"/>
        </w:rPr>
      </w:pPr>
      <w:r w:rsidRPr="00220E4E">
        <w:rPr>
          <w:rFonts w:ascii="Titillium" w:hAnsi="Titillium"/>
          <w:b/>
          <w:bCs/>
          <w:sz w:val="18"/>
          <w:szCs w:val="18"/>
          <w:lang w:val="x-none"/>
        </w:rPr>
        <w:t>DOCUMENTAZIONE ULTERIORE PER I SOGGETTI ASSOCIATI</w:t>
      </w:r>
      <w:bookmarkEnd w:id="1732"/>
    </w:p>
    <w:p w14:paraId="631D2D0A" w14:textId="77777777" w:rsidR="00B50F82" w:rsidRPr="00B50F82" w:rsidRDefault="00B50F82" w:rsidP="00B50F82">
      <w:pPr>
        <w:spacing w:before="60" w:after="60"/>
        <w:rPr>
          <w:rFonts w:ascii="Titillium" w:hAnsi="Titillium"/>
          <w:b/>
          <w:sz w:val="18"/>
          <w:szCs w:val="18"/>
        </w:rPr>
      </w:pPr>
      <w:r w:rsidRPr="00B50F82">
        <w:rPr>
          <w:rFonts w:ascii="Titillium" w:hAnsi="Titillium"/>
          <w:b/>
          <w:sz w:val="18"/>
          <w:szCs w:val="18"/>
        </w:rPr>
        <w:t>Per i raggruppamenti temporanei già costituiti</w:t>
      </w:r>
    </w:p>
    <w:p w14:paraId="7155B551" w14:textId="77777777" w:rsidR="00B50F82" w:rsidRPr="00B50F82" w:rsidRDefault="00B50F82" w:rsidP="00B50F82">
      <w:pPr>
        <w:numPr>
          <w:ilvl w:val="0"/>
          <w:numId w:val="15"/>
        </w:numPr>
        <w:spacing w:before="60" w:after="60"/>
        <w:ind w:left="284" w:hanging="284"/>
        <w:rPr>
          <w:rFonts w:ascii="Titillium" w:hAnsi="Titillium" w:cs="Calibri"/>
          <w:sz w:val="18"/>
          <w:szCs w:val="18"/>
        </w:rPr>
      </w:pPr>
      <w:r w:rsidRPr="00B50F82">
        <w:rPr>
          <w:rFonts w:ascii="Titillium" w:hAnsi="Titillium" w:cs="Calibri"/>
          <w:sz w:val="18"/>
          <w:szCs w:val="18"/>
        </w:rPr>
        <w:t>copia del mandato collettivo irrevocabile con rappresentanza conferito alla mandataria per atto pubblico o scrittura privata autenticata;</w:t>
      </w:r>
    </w:p>
    <w:p w14:paraId="0019D8B8" w14:textId="77777777" w:rsidR="00B50F82" w:rsidRPr="00B50F82" w:rsidRDefault="00B50F82" w:rsidP="00B50F82">
      <w:pPr>
        <w:numPr>
          <w:ilvl w:val="0"/>
          <w:numId w:val="15"/>
        </w:numPr>
        <w:spacing w:before="60" w:after="60"/>
        <w:ind w:left="284" w:hanging="284"/>
        <w:rPr>
          <w:rFonts w:ascii="Titillium" w:hAnsi="Titillium"/>
          <w:b/>
          <w:sz w:val="18"/>
          <w:szCs w:val="18"/>
        </w:rPr>
      </w:pPr>
      <w:r w:rsidRPr="00B50F82">
        <w:rPr>
          <w:rFonts w:ascii="Titillium" w:hAnsi="Titillium" w:cs="Calibri"/>
          <w:sz w:val="18"/>
          <w:szCs w:val="18"/>
        </w:rPr>
        <w:t xml:space="preserve">dichiarazione delle parti del servizio/fornitura, ovvero della percentuale in caso di servizio/forniture indivisibili, che saranno eseguite dai singoli operatori economici riuniti. </w:t>
      </w:r>
    </w:p>
    <w:p w14:paraId="7A9BBAB8" w14:textId="77777777" w:rsidR="00B50F82" w:rsidRPr="00B50F82" w:rsidRDefault="00B50F82" w:rsidP="00B50F82">
      <w:pPr>
        <w:spacing w:before="60" w:after="60"/>
        <w:rPr>
          <w:rFonts w:ascii="Titillium" w:hAnsi="Titillium"/>
          <w:b/>
          <w:sz w:val="18"/>
          <w:szCs w:val="18"/>
        </w:rPr>
      </w:pPr>
      <w:r w:rsidRPr="00B50F82">
        <w:rPr>
          <w:rFonts w:ascii="Titillium" w:hAnsi="Titillium"/>
          <w:b/>
          <w:sz w:val="18"/>
          <w:szCs w:val="18"/>
        </w:rPr>
        <w:t>Per i consorzi ordinari o GEIE già costituiti</w:t>
      </w:r>
    </w:p>
    <w:p w14:paraId="435727AC" w14:textId="77777777" w:rsidR="00B50F82" w:rsidRPr="00B50F82" w:rsidRDefault="00B50F82" w:rsidP="00B50F82">
      <w:pPr>
        <w:numPr>
          <w:ilvl w:val="0"/>
          <w:numId w:val="15"/>
        </w:numPr>
        <w:spacing w:before="60" w:after="60"/>
        <w:ind w:left="284" w:hanging="284"/>
        <w:rPr>
          <w:rFonts w:ascii="Titillium" w:hAnsi="Titillium" w:cs="Calibri"/>
          <w:sz w:val="18"/>
          <w:szCs w:val="18"/>
        </w:rPr>
      </w:pPr>
      <w:r w:rsidRPr="00B50F82">
        <w:rPr>
          <w:rFonts w:ascii="Titillium" w:hAnsi="Titillium" w:cs="Calibri"/>
          <w:sz w:val="18"/>
          <w:szCs w:val="18"/>
        </w:rPr>
        <w:t xml:space="preserve">copia dell’atto costitutivo e dello statuto del consorzio o GEIE, con indicazione del soggetto designato quale capofila; </w:t>
      </w:r>
    </w:p>
    <w:p w14:paraId="0199B84C" w14:textId="77777777" w:rsidR="00B50F82" w:rsidRPr="00B50F82" w:rsidRDefault="00B50F82" w:rsidP="00B50F82">
      <w:pPr>
        <w:numPr>
          <w:ilvl w:val="0"/>
          <w:numId w:val="15"/>
        </w:numPr>
        <w:spacing w:before="60" w:after="60"/>
        <w:ind w:left="284" w:hanging="284"/>
        <w:rPr>
          <w:rFonts w:ascii="Titillium" w:hAnsi="Titillium" w:cs="Calibri"/>
          <w:sz w:val="18"/>
          <w:szCs w:val="18"/>
        </w:rPr>
      </w:pPr>
      <w:r w:rsidRPr="00B50F82">
        <w:rPr>
          <w:rFonts w:ascii="Titillium" w:hAnsi="Titillium" w:cs="Calibri"/>
          <w:sz w:val="18"/>
          <w:szCs w:val="18"/>
        </w:rPr>
        <w:lastRenderedPageBreak/>
        <w:t xml:space="preserve">dichiarazione sottoscritta delle parti del servizio/fornitura, ovvero la percentuale in caso di servizi/forniture indivisibili, che saranno eseguite dai singoli operatori economici consorziati. </w:t>
      </w:r>
    </w:p>
    <w:p w14:paraId="013FE1AD" w14:textId="77777777" w:rsidR="00B50F82" w:rsidRPr="00B50F82" w:rsidRDefault="00B50F82" w:rsidP="00B50F82">
      <w:pPr>
        <w:spacing w:before="60" w:after="60"/>
        <w:rPr>
          <w:rFonts w:ascii="Titillium" w:hAnsi="Titillium"/>
          <w:b/>
          <w:sz w:val="18"/>
          <w:szCs w:val="18"/>
        </w:rPr>
      </w:pPr>
      <w:r w:rsidRPr="00B50F82">
        <w:rPr>
          <w:rFonts w:ascii="Titillium" w:hAnsi="Titillium"/>
          <w:b/>
          <w:sz w:val="18"/>
          <w:szCs w:val="18"/>
        </w:rPr>
        <w:t>Per i raggruppamenti temporanei o consorzi ordinari o GEIE non ancora costituiti</w:t>
      </w:r>
    </w:p>
    <w:p w14:paraId="0AC167D1" w14:textId="77777777" w:rsidR="00B50F82" w:rsidRPr="00B50F82" w:rsidRDefault="00B50F82" w:rsidP="00B50F82">
      <w:pPr>
        <w:numPr>
          <w:ilvl w:val="0"/>
          <w:numId w:val="15"/>
        </w:numPr>
        <w:spacing w:before="60" w:after="60"/>
        <w:ind w:left="284" w:hanging="284"/>
        <w:rPr>
          <w:rFonts w:ascii="Titillium" w:hAnsi="Titillium" w:cs="Calibri"/>
          <w:sz w:val="18"/>
          <w:szCs w:val="18"/>
        </w:rPr>
      </w:pPr>
      <w:r w:rsidRPr="00B50F82">
        <w:rPr>
          <w:rFonts w:ascii="Titillium" w:hAnsi="Titillium" w:cs="Calibri"/>
          <w:sz w:val="18"/>
          <w:szCs w:val="18"/>
        </w:rPr>
        <w:t xml:space="preserve"> dichiarazione resa da ciascun concorrente, attestante:</w:t>
      </w:r>
    </w:p>
    <w:p w14:paraId="38B88438" w14:textId="77777777" w:rsidR="00B50F82" w:rsidRPr="00B50F82" w:rsidRDefault="00B50F82" w:rsidP="00B50F82">
      <w:pPr>
        <w:numPr>
          <w:ilvl w:val="0"/>
          <w:numId w:val="7"/>
        </w:numPr>
        <w:spacing w:before="60" w:after="60"/>
        <w:ind w:left="567" w:hanging="284"/>
        <w:rPr>
          <w:rFonts w:ascii="Titillium" w:hAnsi="Titillium" w:cs="Calibri"/>
          <w:sz w:val="18"/>
          <w:szCs w:val="18"/>
        </w:rPr>
      </w:pPr>
      <w:r w:rsidRPr="00B50F82">
        <w:rPr>
          <w:rFonts w:ascii="Titillium" w:hAnsi="Titillium" w:cs="Calibri"/>
          <w:sz w:val="18"/>
          <w:szCs w:val="18"/>
        </w:rPr>
        <w:t>a quale operatore economico, in caso di aggiudicazione, sarà conferito mandato speciale con rappresentanza o funzioni di capogruppo;</w:t>
      </w:r>
    </w:p>
    <w:p w14:paraId="19B527E4" w14:textId="77777777" w:rsidR="00B50F82" w:rsidRPr="00B50F82" w:rsidRDefault="00B50F82" w:rsidP="00B50F82">
      <w:pPr>
        <w:numPr>
          <w:ilvl w:val="0"/>
          <w:numId w:val="7"/>
        </w:numPr>
        <w:spacing w:before="60" w:after="60"/>
        <w:ind w:left="567" w:hanging="284"/>
      </w:pPr>
      <w:r w:rsidRPr="00B50F82">
        <w:rPr>
          <w:rFonts w:ascii="Titillium" w:hAnsi="Titillium" w:cs="Calibri"/>
          <w:sz w:val="18"/>
          <w:szCs w:val="18"/>
        </w:rPr>
        <w:t>l’impegno,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14:paraId="55C82480" w14:textId="77777777" w:rsidR="00B50F82" w:rsidRPr="00B50F82" w:rsidRDefault="00B50F82" w:rsidP="00B50F82">
      <w:pPr>
        <w:numPr>
          <w:ilvl w:val="0"/>
          <w:numId w:val="7"/>
        </w:numPr>
        <w:spacing w:before="60" w:after="60"/>
        <w:ind w:left="567" w:hanging="284"/>
      </w:pPr>
      <w:r w:rsidRPr="00B50F82">
        <w:rPr>
          <w:rFonts w:ascii="Titillium" w:hAnsi="Titillium" w:cs="Calibri"/>
          <w:sz w:val="18"/>
          <w:szCs w:val="18"/>
        </w:rPr>
        <w:t xml:space="preserve">le parti del servizio/fornitura, ovvero la percentuale in caso di servizio/forniture indivisibili, che saranno eseguite dai singoli operatori economici riuniti o consorziati. </w:t>
      </w:r>
    </w:p>
    <w:p w14:paraId="7A2D380F" w14:textId="77777777" w:rsidR="00B50F82" w:rsidRPr="00B50F82" w:rsidRDefault="00B50F82" w:rsidP="00B50F82">
      <w:pPr>
        <w:spacing w:before="60" w:after="60"/>
        <w:rPr>
          <w:rFonts w:ascii="Titillium" w:hAnsi="Titillium"/>
          <w:b/>
          <w:sz w:val="18"/>
          <w:szCs w:val="18"/>
        </w:rPr>
      </w:pPr>
      <w:r w:rsidRPr="00B50F82">
        <w:rPr>
          <w:rFonts w:ascii="Titillium" w:hAnsi="Titillium"/>
          <w:b/>
          <w:sz w:val="18"/>
          <w:szCs w:val="18"/>
        </w:rPr>
        <w:t>Per le aggregazioni di retisti: se la rete è dotata di un organo comune con potere di rappresentanza e soggettività giuridica</w:t>
      </w:r>
    </w:p>
    <w:p w14:paraId="33CC976E" w14:textId="77777777" w:rsidR="00B50F82" w:rsidRPr="00B50F82" w:rsidRDefault="00B50F82" w:rsidP="00B50F82">
      <w:pPr>
        <w:numPr>
          <w:ilvl w:val="0"/>
          <w:numId w:val="8"/>
        </w:numPr>
        <w:spacing w:before="60" w:after="60"/>
        <w:ind w:left="426"/>
        <w:rPr>
          <w:rFonts w:ascii="Titillium" w:hAnsi="Titillium" w:cs="Calibri"/>
          <w:sz w:val="18"/>
          <w:szCs w:val="18"/>
        </w:rPr>
      </w:pPr>
      <w:r w:rsidRPr="00B50F82">
        <w:rPr>
          <w:rFonts w:ascii="Titillium" w:hAnsi="Titillium" w:cs="Calibri"/>
          <w:sz w:val="18"/>
          <w:szCs w:val="18"/>
        </w:rPr>
        <w:t>copia del contratto di rete, con indicazione dell’organo comune che agisce in rappresentanza della rete;</w:t>
      </w:r>
    </w:p>
    <w:p w14:paraId="4ADA13BA" w14:textId="77777777" w:rsidR="00B50F82" w:rsidRPr="00B50F82" w:rsidRDefault="00B50F82" w:rsidP="00B50F82">
      <w:pPr>
        <w:numPr>
          <w:ilvl w:val="0"/>
          <w:numId w:val="8"/>
        </w:numPr>
        <w:spacing w:before="60" w:after="60"/>
        <w:ind w:left="426"/>
        <w:rPr>
          <w:rFonts w:ascii="Titillium" w:hAnsi="Titillium" w:cs="Calibri"/>
          <w:sz w:val="18"/>
          <w:szCs w:val="18"/>
        </w:rPr>
      </w:pPr>
      <w:r w:rsidRPr="00B50F82">
        <w:rPr>
          <w:rFonts w:ascii="Titillium" w:hAnsi="Titillium" w:cs="Calibri"/>
          <w:sz w:val="18"/>
          <w:szCs w:val="18"/>
        </w:rPr>
        <w:t xml:space="preserve">dichiarazione che indichi per quali imprese la rete concorre; </w:t>
      </w:r>
    </w:p>
    <w:p w14:paraId="2B33AC53" w14:textId="77777777" w:rsidR="00B50F82" w:rsidRPr="00B50F82" w:rsidRDefault="00B50F82" w:rsidP="00B50F82">
      <w:pPr>
        <w:numPr>
          <w:ilvl w:val="0"/>
          <w:numId w:val="8"/>
        </w:numPr>
        <w:spacing w:before="60" w:after="60"/>
        <w:ind w:left="426"/>
        <w:rPr>
          <w:rFonts w:ascii="Titillium" w:hAnsi="Titillium" w:cs="Calibri"/>
          <w:sz w:val="18"/>
          <w:szCs w:val="18"/>
        </w:rPr>
      </w:pPr>
      <w:r w:rsidRPr="00B50F82">
        <w:rPr>
          <w:rFonts w:ascii="Titillium" w:hAnsi="Titillium" w:cs="Calibri"/>
          <w:sz w:val="18"/>
          <w:szCs w:val="18"/>
        </w:rPr>
        <w:t xml:space="preserve">dichiarazione sottoscritta con firma digitale delle parti del servizio o della fornitura, ovvero la percentuale in caso di servizio/forniture indivisibili, eseguite dai singoli operatori economici aggregati in rete. </w:t>
      </w:r>
    </w:p>
    <w:p w14:paraId="7866B940" w14:textId="77777777" w:rsidR="00B50F82" w:rsidRPr="00B50F82" w:rsidRDefault="00B50F82" w:rsidP="00B50F82">
      <w:pPr>
        <w:spacing w:before="60" w:after="60"/>
        <w:rPr>
          <w:rFonts w:ascii="Titillium" w:hAnsi="Titillium"/>
          <w:b/>
          <w:sz w:val="18"/>
          <w:szCs w:val="18"/>
        </w:rPr>
      </w:pPr>
      <w:r w:rsidRPr="00B50F82">
        <w:rPr>
          <w:rFonts w:ascii="Titillium" w:hAnsi="Titillium"/>
          <w:b/>
          <w:sz w:val="18"/>
          <w:szCs w:val="18"/>
        </w:rPr>
        <w:t>Per le aggregazioni di retisti: se la rete è dotata di un organo comune con potere di rappresentanza ma è priva di soggettività giuridica</w:t>
      </w:r>
    </w:p>
    <w:p w14:paraId="17DDC8EF" w14:textId="77777777" w:rsidR="00B50F82" w:rsidRPr="00B50F82" w:rsidRDefault="00B50F82" w:rsidP="00B50F82">
      <w:pPr>
        <w:numPr>
          <w:ilvl w:val="0"/>
          <w:numId w:val="8"/>
        </w:numPr>
        <w:spacing w:before="60" w:after="60"/>
        <w:ind w:left="426" w:hanging="425"/>
        <w:rPr>
          <w:rFonts w:ascii="Titillium" w:hAnsi="Titillium" w:cs="Calibri"/>
          <w:sz w:val="18"/>
          <w:szCs w:val="18"/>
        </w:rPr>
      </w:pPr>
      <w:r w:rsidRPr="00B50F82">
        <w:rPr>
          <w:rFonts w:ascii="Titillium" w:hAnsi="Titillium" w:cs="Calibri"/>
          <w:sz w:val="18"/>
          <w:szCs w:val="18"/>
        </w:rPr>
        <w:t>copia del contratto di rete;</w:t>
      </w:r>
    </w:p>
    <w:p w14:paraId="327235E4" w14:textId="77777777" w:rsidR="00B50F82" w:rsidRPr="00B50F82" w:rsidRDefault="00B50F82" w:rsidP="00B50F82">
      <w:pPr>
        <w:numPr>
          <w:ilvl w:val="0"/>
          <w:numId w:val="8"/>
        </w:numPr>
        <w:spacing w:before="60" w:after="60"/>
        <w:ind w:left="426" w:hanging="425"/>
        <w:rPr>
          <w:rFonts w:ascii="Titillium" w:hAnsi="Titillium" w:cs="Calibri"/>
          <w:sz w:val="18"/>
          <w:szCs w:val="18"/>
        </w:rPr>
      </w:pPr>
      <w:r w:rsidRPr="00B50F82">
        <w:rPr>
          <w:rFonts w:ascii="Titillium" w:hAnsi="Titillium" w:cs="Calibri"/>
          <w:sz w:val="18"/>
          <w:szCs w:val="18"/>
        </w:rPr>
        <w:t xml:space="preserve">copia del mandato collettivo irrevocabile con rappresentanza conferito all’organo comune; </w:t>
      </w:r>
    </w:p>
    <w:p w14:paraId="628A4717" w14:textId="77777777" w:rsidR="00B50F82" w:rsidRPr="00B50F82" w:rsidRDefault="00B50F82" w:rsidP="00B50F82">
      <w:pPr>
        <w:numPr>
          <w:ilvl w:val="0"/>
          <w:numId w:val="8"/>
        </w:numPr>
        <w:spacing w:before="60" w:after="60"/>
        <w:ind w:left="426" w:hanging="425"/>
        <w:rPr>
          <w:rFonts w:ascii="Titillium" w:hAnsi="Titillium" w:cs="Calibri"/>
          <w:sz w:val="18"/>
          <w:szCs w:val="18"/>
        </w:rPr>
      </w:pPr>
      <w:r w:rsidRPr="00B50F82">
        <w:rPr>
          <w:rFonts w:ascii="Titillium" w:hAnsi="Titillium" w:cs="Calibri"/>
          <w:sz w:val="18"/>
          <w:szCs w:val="18"/>
        </w:rPr>
        <w:t>dichiarazione delle parti del servizio o della fornitura, ovvero la percentuale in caso di servizio/forniture indivisibili, eseguite dai singoli operatori economici aggregati in rete.</w:t>
      </w:r>
    </w:p>
    <w:p w14:paraId="6DD62055" w14:textId="77777777" w:rsidR="00B50F82" w:rsidRPr="00B50F82" w:rsidRDefault="00B50F82" w:rsidP="00B50F82">
      <w:pPr>
        <w:spacing w:before="60" w:after="60"/>
        <w:rPr>
          <w:rFonts w:ascii="Titillium" w:hAnsi="Titillium"/>
          <w:b/>
          <w:sz w:val="18"/>
          <w:szCs w:val="18"/>
        </w:rPr>
      </w:pPr>
      <w:r w:rsidRPr="00B50F82">
        <w:rPr>
          <w:rFonts w:ascii="Titillium" w:hAnsi="Titillium"/>
          <w:b/>
          <w:sz w:val="18"/>
          <w:szCs w:val="18"/>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4AA35B0F" w14:textId="77777777" w:rsidR="00B50F82" w:rsidRPr="00B50F82" w:rsidRDefault="00B50F82" w:rsidP="00B50F82">
      <w:pPr>
        <w:numPr>
          <w:ilvl w:val="0"/>
          <w:numId w:val="8"/>
        </w:numPr>
        <w:spacing w:before="60" w:after="60"/>
        <w:ind w:left="426"/>
      </w:pPr>
      <w:r w:rsidRPr="00B50F82">
        <w:rPr>
          <w:rFonts w:ascii="Titillium" w:hAnsi="Titillium" w:cs="Calibri"/>
          <w:b/>
          <w:sz w:val="18"/>
          <w:szCs w:val="18"/>
        </w:rPr>
        <w:t>in caso di raggruppamento temporaneo di imprese costituito</w:t>
      </w:r>
      <w:r w:rsidRPr="00B50F82">
        <w:rPr>
          <w:rFonts w:ascii="Titillium" w:hAnsi="Titillium" w:cs="Calibri"/>
          <w:sz w:val="18"/>
          <w:szCs w:val="18"/>
        </w:rPr>
        <w:t xml:space="preserve">: </w:t>
      </w:r>
    </w:p>
    <w:p w14:paraId="77E923CA" w14:textId="77777777" w:rsidR="00B50F82" w:rsidRPr="00B50F82" w:rsidRDefault="00B50F82" w:rsidP="00B50F82">
      <w:pPr>
        <w:numPr>
          <w:ilvl w:val="0"/>
          <w:numId w:val="8"/>
        </w:numPr>
        <w:spacing w:before="60" w:after="60"/>
        <w:ind w:left="426" w:hanging="142"/>
        <w:rPr>
          <w:rFonts w:ascii="Titillium" w:hAnsi="Titillium" w:cs="Calibri"/>
          <w:sz w:val="18"/>
          <w:szCs w:val="18"/>
        </w:rPr>
      </w:pPr>
      <w:r w:rsidRPr="00B50F82">
        <w:rPr>
          <w:rFonts w:ascii="Titillium" w:hAnsi="Titillium" w:cs="Calibri"/>
          <w:sz w:val="18"/>
          <w:szCs w:val="18"/>
        </w:rPr>
        <w:t>copia del contratto di rete;</w:t>
      </w:r>
    </w:p>
    <w:p w14:paraId="460EF850" w14:textId="77777777" w:rsidR="00B50F82" w:rsidRPr="00B50F82" w:rsidRDefault="00B50F82" w:rsidP="00B50F82">
      <w:pPr>
        <w:numPr>
          <w:ilvl w:val="0"/>
          <w:numId w:val="8"/>
        </w:numPr>
        <w:spacing w:before="60" w:after="60"/>
        <w:ind w:left="426" w:hanging="142"/>
        <w:rPr>
          <w:rFonts w:ascii="Titillium" w:hAnsi="Titillium" w:cs="Calibri"/>
          <w:sz w:val="18"/>
          <w:szCs w:val="18"/>
        </w:rPr>
      </w:pPr>
      <w:r w:rsidRPr="00B50F82">
        <w:rPr>
          <w:rFonts w:ascii="Titillium" w:hAnsi="Titillium" w:cs="Calibri"/>
          <w:sz w:val="18"/>
          <w:szCs w:val="18"/>
        </w:rPr>
        <w:t>copia del mandato collettivo irrevocabile con rappresentanza conferito alla mandataria;</w:t>
      </w:r>
    </w:p>
    <w:p w14:paraId="4758FFAF" w14:textId="77777777" w:rsidR="00B50F82" w:rsidRPr="00B50F82" w:rsidRDefault="00B50F82" w:rsidP="00B50F82">
      <w:pPr>
        <w:numPr>
          <w:ilvl w:val="0"/>
          <w:numId w:val="8"/>
        </w:numPr>
        <w:spacing w:before="60" w:after="60"/>
        <w:ind w:left="426" w:hanging="142"/>
        <w:rPr>
          <w:rFonts w:ascii="Titillium" w:hAnsi="Titillium" w:cs="Calibri"/>
          <w:sz w:val="18"/>
          <w:szCs w:val="18"/>
        </w:rPr>
      </w:pPr>
      <w:r w:rsidRPr="00B50F82">
        <w:rPr>
          <w:rFonts w:ascii="Titillium" w:hAnsi="Titillium" w:cs="Calibri"/>
          <w:sz w:val="18"/>
          <w:szCs w:val="18"/>
        </w:rPr>
        <w:t>dichiarazione delle parti del servizio o della fornitura, ovvero la percentuale in caso di servizio/forniture indivisibili, eseguite dai singoli operatori economici aggregati in rete.</w:t>
      </w:r>
    </w:p>
    <w:p w14:paraId="3C55C89F" w14:textId="77777777" w:rsidR="00B50F82" w:rsidRPr="00B50F82" w:rsidRDefault="00B50F82" w:rsidP="00B50F82">
      <w:pPr>
        <w:numPr>
          <w:ilvl w:val="0"/>
          <w:numId w:val="8"/>
        </w:numPr>
        <w:spacing w:before="60" w:after="60"/>
        <w:ind w:left="426"/>
      </w:pPr>
      <w:r w:rsidRPr="00B50F82">
        <w:rPr>
          <w:rFonts w:ascii="Titillium" w:hAnsi="Titillium" w:cs="Calibri"/>
          <w:b/>
          <w:sz w:val="18"/>
          <w:szCs w:val="18"/>
        </w:rPr>
        <w:t>in caso di raggruppamento temporaneo di imprese costituendo</w:t>
      </w:r>
      <w:r w:rsidRPr="00B50F82">
        <w:rPr>
          <w:rFonts w:ascii="Titillium" w:hAnsi="Titillium" w:cs="Calibri"/>
          <w:sz w:val="18"/>
          <w:szCs w:val="18"/>
        </w:rPr>
        <w:t xml:space="preserve">: </w:t>
      </w:r>
    </w:p>
    <w:p w14:paraId="41FE52C1" w14:textId="77777777" w:rsidR="00B50F82" w:rsidRPr="00B50F82" w:rsidRDefault="00B50F82" w:rsidP="00B50F82">
      <w:pPr>
        <w:numPr>
          <w:ilvl w:val="0"/>
          <w:numId w:val="8"/>
        </w:numPr>
        <w:spacing w:before="60" w:after="60"/>
        <w:ind w:left="426" w:hanging="142"/>
        <w:rPr>
          <w:rFonts w:ascii="Titillium" w:hAnsi="Titillium" w:cs="Calibri"/>
          <w:sz w:val="18"/>
          <w:szCs w:val="18"/>
        </w:rPr>
      </w:pPr>
      <w:r w:rsidRPr="00B50F82">
        <w:rPr>
          <w:rFonts w:ascii="Titillium" w:hAnsi="Titillium" w:cs="Calibri"/>
          <w:sz w:val="18"/>
          <w:szCs w:val="18"/>
        </w:rPr>
        <w:t>copia del contratto di rete;</w:t>
      </w:r>
    </w:p>
    <w:p w14:paraId="54B98B88" w14:textId="77777777" w:rsidR="00B50F82" w:rsidRPr="00B50F82" w:rsidRDefault="00B50F82" w:rsidP="00B50F82">
      <w:pPr>
        <w:numPr>
          <w:ilvl w:val="0"/>
          <w:numId w:val="8"/>
        </w:numPr>
        <w:spacing w:before="60" w:after="60"/>
        <w:ind w:left="426" w:hanging="142"/>
        <w:rPr>
          <w:rFonts w:ascii="Titillium" w:hAnsi="Titillium" w:cs="Calibri"/>
          <w:sz w:val="18"/>
          <w:szCs w:val="18"/>
        </w:rPr>
      </w:pPr>
      <w:r w:rsidRPr="00B50F82">
        <w:rPr>
          <w:rFonts w:ascii="Titillium" w:hAnsi="Titillium" w:cs="Calibri"/>
          <w:sz w:val="18"/>
          <w:szCs w:val="18"/>
        </w:rPr>
        <w:t>dichiarazioni, rese da ciascun concorrente aderente all’aggregazione di rete, attestanti:</w:t>
      </w:r>
    </w:p>
    <w:p w14:paraId="6D2ABCF1" w14:textId="77777777" w:rsidR="00B50F82" w:rsidRPr="00B50F82" w:rsidRDefault="00B50F82" w:rsidP="00B50F82">
      <w:pPr>
        <w:numPr>
          <w:ilvl w:val="3"/>
          <w:numId w:val="9"/>
        </w:numPr>
        <w:spacing w:before="60" w:after="60"/>
        <w:ind w:left="709" w:hanging="284"/>
        <w:rPr>
          <w:rFonts w:ascii="Titillium" w:hAnsi="Titillium" w:cs="Calibri"/>
          <w:sz w:val="18"/>
          <w:szCs w:val="18"/>
        </w:rPr>
      </w:pPr>
      <w:r w:rsidRPr="00B50F82">
        <w:rPr>
          <w:rFonts w:ascii="Titillium" w:hAnsi="Titillium" w:cs="Calibri"/>
          <w:sz w:val="18"/>
          <w:szCs w:val="18"/>
        </w:rPr>
        <w:t>a quale concorrente, in caso di aggiudicazione, sarà conferito mandato speciale con rappresentanza o funzioni di capogruppo;</w:t>
      </w:r>
    </w:p>
    <w:p w14:paraId="1B9F4FE8" w14:textId="77777777" w:rsidR="00B50F82" w:rsidRPr="00B50F82" w:rsidRDefault="00B50F82" w:rsidP="00B50F82">
      <w:pPr>
        <w:numPr>
          <w:ilvl w:val="3"/>
          <w:numId w:val="9"/>
        </w:numPr>
        <w:spacing w:before="60" w:after="60"/>
        <w:ind w:left="709" w:hanging="284"/>
        <w:rPr>
          <w:rFonts w:ascii="Titillium" w:hAnsi="Titillium" w:cs="Calibri"/>
          <w:sz w:val="18"/>
          <w:szCs w:val="18"/>
        </w:rPr>
      </w:pPr>
      <w:r w:rsidRPr="00B50F82">
        <w:rPr>
          <w:rFonts w:ascii="Titillium" w:hAnsi="Titillium" w:cs="Calibri"/>
          <w:sz w:val="18"/>
          <w:szCs w:val="18"/>
        </w:rPr>
        <w:t>l’impegno, in caso di aggiudicazione, ad uniformarsi alla disciplina vigente in materia di raggruppamenti temporanei;</w:t>
      </w:r>
    </w:p>
    <w:p w14:paraId="2E1EAC88" w14:textId="49C92F8D" w:rsidR="00220E4E" w:rsidRDefault="00B50F82" w:rsidP="00B50F82">
      <w:pPr>
        <w:numPr>
          <w:ilvl w:val="3"/>
          <w:numId w:val="9"/>
        </w:numPr>
        <w:spacing w:before="60" w:after="60"/>
        <w:ind w:left="709" w:hanging="284"/>
        <w:rPr>
          <w:rFonts w:ascii="Titillium" w:hAnsi="Titillium" w:cs="Calibri"/>
          <w:sz w:val="18"/>
          <w:szCs w:val="18"/>
        </w:rPr>
      </w:pPr>
      <w:r w:rsidRPr="00B50F82">
        <w:rPr>
          <w:rFonts w:ascii="Titillium" w:hAnsi="Titillium" w:cs="Calibri"/>
          <w:sz w:val="18"/>
          <w:szCs w:val="18"/>
        </w:rPr>
        <w:t>le parti del servizio o della fornitura, ovvero la percentuale in caso di servizio/forniture indivisibili, eseguite dai singoli operatori economici aggregati in rete</w:t>
      </w:r>
      <w:r w:rsidR="00220E4E" w:rsidRPr="00220E4E">
        <w:rPr>
          <w:rFonts w:ascii="Titillium" w:hAnsi="Titillium" w:cs="Calibri"/>
          <w:sz w:val="18"/>
          <w:szCs w:val="18"/>
        </w:rPr>
        <w:t>.</w:t>
      </w:r>
    </w:p>
    <w:p w14:paraId="3E024A49" w14:textId="6466ABB9" w:rsidR="004C53A8" w:rsidRDefault="00870286" w:rsidP="008300A5">
      <w:pPr>
        <w:pStyle w:val="Titolo2"/>
        <w:numPr>
          <w:ilvl w:val="0"/>
          <w:numId w:val="3"/>
        </w:numPr>
        <w:ind w:left="357" w:hanging="357"/>
      </w:pPr>
      <w:bookmarkStart w:id="1733" w:name="_Toc89270302"/>
      <w:bookmarkEnd w:id="1728"/>
      <w:bookmarkEnd w:id="1729"/>
      <w:bookmarkEnd w:id="1730"/>
      <w:r>
        <w:rPr>
          <w:rFonts w:ascii="Titillium" w:hAnsi="Titillium"/>
          <w:sz w:val="18"/>
          <w:szCs w:val="18"/>
          <w:lang w:val="it-IT"/>
        </w:rPr>
        <w:t>OFFERTA TECNICA</w:t>
      </w:r>
      <w:bookmarkEnd w:id="1733"/>
    </w:p>
    <w:p w14:paraId="1D5D5881" w14:textId="4FF4C905" w:rsidR="00E233AC" w:rsidRPr="00065A80" w:rsidRDefault="00E233AC" w:rsidP="00E233AC">
      <w:pPr>
        <w:spacing w:before="60" w:after="60"/>
        <w:rPr>
          <w:rFonts w:ascii="Titillium" w:hAnsi="Titillium" w:cs="Calibri"/>
          <w:sz w:val="18"/>
          <w:szCs w:val="18"/>
        </w:rPr>
      </w:pPr>
      <w:bookmarkStart w:id="1734" w:name="_Toc406058382"/>
      <w:bookmarkStart w:id="1735" w:name="_Toc407013507"/>
      <w:bookmarkStart w:id="1736" w:name="_Toc406754183"/>
      <w:bookmarkStart w:id="1737" w:name="_Toc89270303"/>
      <w:bookmarkEnd w:id="1734"/>
      <w:bookmarkEnd w:id="1735"/>
      <w:bookmarkEnd w:id="1736"/>
      <w:r w:rsidRPr="00065A80">
        <w:rPr>
          <w:rFonts w:ascii="Titillium" w:hAnsi="Titillium" w:cs="Calibri"/>
          <w:sz w:val="18"/>
          <w:szCs w:val="18"/>
        </w:rPr>
        <w:t xml:space="preserve">L’operatore economico inserisce la documentazione relativa all’offerta tecnica nella Piattaforma secondo le modalità esplicitate nelle guide per l’utilizzo della piattaforma SATER accessibili dal sito </w:t>
      </w:r>
      <w:hyperlink r:id="rId25" w:history="1">
        <w:r w:rsidR="00CD657D" w:rsidRPr="00DA5647">
          <w:rPr>
            <w:rStyle w:val="Collegamentoipertestuale"/>
            <w:rFonts w:ascii="Titillium" w:hAnsi="Titillium" w:cs="Calibri"/>
            <w:sz w:val="18"/>
            <w:szCs w:val="18"/>
          </w:rPr>
          <w:t>http://intercenter.regione.emilia-romagna.it/agenzia/utilizzo-del- sistema/guide/</w:t>
        </w:r>
      </w:hyperlink>
      <w:r w:rsidR="00CD657D">
        <w:rPr>
          <w:rFonts w:ascii="Titillium" w:hAnsi="Titillium" w:cs="Calibri"/>
          <w:sz w:val="18"/>
          <w:szCs w:val="18"/>
        </w:rPr>
        <w:t xml:space="preserve"> </w:t>
      </w:r>
      <w:r w:rsidRPr="00065A80">
        <w:rPr>
          <w:rFonts w:ascii="Titillium" w:hAnsi="Titillium" w:cs="Calibri"/>
          <w:sz w:val="18"/>
          <w:szCs w:val="18"/>
        </w:rPr>
        <w:t>:</w:t>
      </w:r>
    </w:p>
    <w:p w14:paraId="21190BA8" w14:textId="77777777" w:rsidR="00E233AC" w:rsidRPr="00FF2A33" w:rsidRDefault="00E233AC" w:rsidP="00E233AC">
      <w:pPr>
        <w:spacing w:before="60" w:after="60"/>
        <w:rPr>
          <w:rFonts w:ascii="Titillium" w:hAnsi="Titillium" w:cs="Calibri"/>
          <w:sz w:val="18"/>
          <w:szCs w:val="18"/>
        </w:rPr>
      </w:pPr>
      <w:r w:rsidRPr="00065A80">
        <w:rPr>
          <w:rFonts w:ascii="Titillium" w:hAnsi="Titillium" w:cs="Calibri"/>
          <w:sz w:val="18"/>
          <w:szCs w:val="18"/>
        </w:rPr>
        <w:t xml:space="preserve">L’offerta è firmata secondo le modalità previste al precedente punto 15.1. e deve contenere, </w:t>
      </w:r>
      <w:r w:rsidRPr="00A5237A">
        <w:rPr>
          <w:rFonts w:ascii="Titillium" w:hAnsi="Titillium" w:cs="Calibri"/>
          <w:b/>
          <w:bCs/>
          <w:sz w:val="18"/>
          <w:szCs w:val="18"/>
        </w:rPr>
        <w:t>a pena di esclusione</w:t>
      </w:r>
      <w:r w:rsidRPr="00065A80">
        <w:rPr>
          <w:rFonts w:ascii="Titillium" w:hAnsi="Titillium" w:cs="Calibri"/>
          <w:sz w:val="18"/>
          <w:szCs w:val="18"/>
        </w:rPr>
        <w:t>, i seguenti documenti</w:t>
      </w:r>
    </w:p>
    <w:p w14:paraId="58E0E7BF" w14:textId="77777777" w:rsidR="00E233AC" w:rsidRPr="008C1D89" w:rsidRDefault="00E233AC" w:rsidP="006604AE">
      <w:pPr>
        <w:pStyle w:val="Paragrafoelenco"/>
        <w:numPr>
          <w:ilvl w:val="0"/>
          <w:numId w:val="58"/>
        </w:numPr>
        <w:spacing w:before="60" w:after="60"/>
        <w:ind w:left="426"/>
        <w:contextualSpacing/>
        <w:rPr>
          <w:rFonts w:ascii="Titillium" w:hAnsi="Titillium" w:cs="Calibri"/>
          <w:sz w:val="18"/>
          <w:szCs w:val="18"/>
        </w:rPr>
      </w:pPr>
      <w:r w:rsidRPr="008C1D89">
        <w:rPr>
          <w:rFonts w:ascii="Titillium" w:hAnsi="Titillium" w:cs="Calibri"/>
          <w:sz w:val="18"/>
          <w:szCs w:val="18"/>
        </w:rPr>
        <w:lastRenderedPageBreak/>
        <w:t>relazione tecnica dei servizi offerti</w:t>
      </w:r>
    </w:p>
    <w:p w14:paraId="51A683EB" w14:textId="77777777" w:rsidR="00E233AC" w:rsidRPr="00FF2A33" w:rsidRDefault="00E233AC" w:rsidP="006604AE">
      <w:pPr>
        <w:pStyle w:val="Paragrafoelenco"/>
        <w:numPr>
          <w:ilvl w:val="0"/>
          <w:numId w:val="58"/>
        </w:numPr>
        <w:spacing w:before="60" w:after="60"/>
        <w:ind w:left="426"/>
        <w:contextualSpacing/>
        <w:rPr>
          <w:rFonts w:ascii="Titillium" w:hAnsi="Titillium" w:cs="Calibri"/>
          <w:sz w:val="18"/>
          <w:szCs w:val="18"/>
        </w:rPr>
      </w:pPr>
      <w:r w:rsidRPr="00FF2A33">
        <w:rPr>
          <w:rFonts w:ascii="Titillium" w:hAnsi="Titillium" w:cs="Calibri"/>
          <w:sz w:val="18"/>
          <w:szCs w:val="18"/>
        </w:rPr>
        <w:t>eventuali segreti tecnici e commerciali.</w:t>
      </w:r>
    </w:p>
    <w:p w14:paraId="7C1F9F71" w14:textId="77777777" w:rsidR="00E233AC" w:rsidRPr="00FF2A33" w:rsidRDefault="00E233AC" w:rsidP="006604AE">
      <w:pPr>
        <w:spacing w:before="60" w:after="60"/>
        <w:ind w:left="426"/>
        <w:rPr>
          <w:rFonts w:ascii="Titillium" w:hAnsi="Titillium" w:cs="Calibri"/>
          <w:b/>
          <w:sz w:val="18"/>
          <w:szCs w:val="18"/>
        </w:rPr>
      </w:pPr>
      <w:r w:rsidRPr="00FF2A33">
        <w:rPr>
          <w:rFonts w:ascii="Titillium" w:hAnsi="Titillium" w:cs="Calibri"/>
          <w:sz w:val="18"/>
          <w:szCs w:val="18"/>
        </w:rPr>
        <w:t xml:space="preserve">L’operatore economico allega oltre all’offerta in chiaro, una versione della stessa con oscuramento delle parti che ritiene </w:t>
      </w:r>
      <w:r w:rsidRPr="00FF2A33">
        <w:rPr>
          <w:rFonts w:ascii="Titillium" w:hAnsi="Titillium" w:cs="Calibri"/>
          <w:b/>
          <w:sz w:val="18"/>
          <w:szCs w:val="18"/>
        </w:rPr>
        <w:t>riservate in quanto costituenti segreti tecnici o commerciali, anche risultanti da scoperte, innovazioni, progetti tutelati da titoli di proprietà industriale, nonché di contenuto altamente tecnologico, unitamente a una dichiarazione firmata contenente le ragioni della richiesta.</w:t>
      </w:r>
    </w:p>
    <w:p w14:paraId="6434A06B" w14:textId="77777777" w:rsidR="00E233AC" w:rsidRPr="00065A80" w:rsidRDefault="00E233AC" w:rsidP="006604AE">
      <w:pPr>
        <w:spacing w:before="60" w:after="60"/>
        <w:ind w:left="426"/>
        <w:rPr>
          <w:rFonts w:ascii="Titillium" w:hAnsi="Titillium" w:cs="Calibri"/>
          <w:sz w:val="18"/>
          <w:szCs w:val="18"/>
        </w:rPr>
      </w:pPr>
      <w:r w:rsidRPr="00FF2A33">
        <w:rPr>
          <w:rFonts w:ascii="Titillium" w:hAnsi="Titillium" w:cs="Calibri"/>
          <w:sz w:val="18"/>
          <w:szCs w:val="18"/>
        </w:rPr>
        <w:t>Resta ferma, la facoltà della stazione appaltante di valutare la fondatezza delle motivazioni addotte e di chiedere al concorrente di dimostrare</w:t>
      </w:r>
      <w:r w:rsidRPr="00BC26AD">
        <w:rPr>
          <w:rFonts w:ascii="Titillium" w:hAnsi="Titillium" w:cs="Calibri"/>
          <w:sz w:val="18"/>
          <w:szCs w:val="18"/>
        </w:rPr>
        <w:t xml:space="preserve"> la tangibile sussistenza di eventuali segreti tecnici e commerciali</w:t>
      </w:r>
      <w:r>
        <w:rPr>
          <w:rFonts w:ascii="Titillium" w:hAnsi="Titillium" w:cs="Calibri"/>
          <w:sz w:val="18"/>
          <w:szCs w:val="18"/>
        </w:rPr>
        <w:t>.</w:t>
      </w:r>
    </w:p>
    <w:p w14:paraId="51FB1824" w14:textId="3E32557A" w:rsidR="00E233AC" w:rsidRPr="000565B4" w:rsidRDefault="00E233AC" w:rsidP="00E233AC">
      <w:pPr>
        <w:spacing w:before="60" w:after="60"/>
        <w:rPr>
          <w:rFonts w:ascii="Titillium" w:hAnsi="Titillium" w:cs="Calibri"/>
          <w:sz w:val="18"/>
          <w:szCs w:val="18"/>
        </w:rPr>
      </w:pPr>
      <w:r w:rsidRPr="00AF481C">
        <w:rPr>
          <w:rFonts w:ascii="Titillium" w:hAnsi="Titillium" w:cs="Calibri"/>
          <w:sz w:val="18"/>
          <w:szCs w:val="18"/>
        </w:rPr>
        <w:t xml:space="preserve">La relazione contiene una proposta tecnico-organizzativa che illustra, con riferimento ai criteri e sub-criteri di valutazione </w:t>
      </w:r>
      <w:r w:rsidRPr="000565B4">
        <w:rPr>
          <w:rFonts w:ascii="Titillium" w:hAnsi="Titillium" w:cs="Calibri"/>
          <w:sz w:val="18"/>
          <w:szCs w:val="18"/>
        </w:rPr>
        <w:t>indicati nella tabella di cui al successivo paragrafo 18.1, seguendo pedissequamente l’ordine ivi riportato.</w:t>
      </w:r>
    </w:p>
    <w:p w14:paraId="28D9ECCE" w14:textId="4A0332F7" w:rsidR="00E233AC" w:rsidRPr="000565B4" w:rsidRDefault="00E233AC" w:rsidP="00E233AC">
      <w:pPr>
        <w:spacing w:before="60" w:after="60"/>
        <w:rPr>
          <w:rFonts w:ascii="Titillium" w:hAnsi="Titillium" w:cs="Calibri"/>
          <w:sz w:val="18"/>
          <w:szCs w:val="18"/>
        </w:rPr>
      </w:pPr>
      <w:r w:rsidRPr="000565B4">
        <w:rPr>
          <w:rFonts w:ascii="Titillium" w:hAnsi="Titillium" w:cs="Calibri"/>
          <w:sz w:val="18"/>
          <w:szCs w:val="18"/>
        </w:rPr>
        <w:t xml:space="preserve">Si consiglia di contenere la relazione entro </w:t>
      </w:r>
      <w:r w:rsidR="001C1CD5">
        <w:rPr>
          <w:rFonts w:ascii="Titillium" w:hAnsi="Titillium" w:cs="Calibri"/>
          <w:sz w:val="18"/>
          <w:szCs w:val="18"/>
        </w:rPr>
        <w:t>8</w:t>
      </w:r>
      <w:r w:rsidR="00D66F54">
        <w:rPr>
          <w:rFonts w:ascii="Titillium" w:hAnsi="Titillium" w:cs="Calibri"/>
          <w:sz w:val="18"/>
          <w:szCs w:val="18"/>
        </w:rPr>
        <w:t xml:space="preserve"> </w:t>
      </w:r>
      <w:r w:rsidRPr="000565B4">
        <w:rPr>
          <w:rFonts w:ascii="Titillium" w:hAnsi="Titillium" w:cs="Calibri"/>
          <w:sz w:val="18"/>
          <w:szCs w:val="18"/>
        </w:rPr>
        <w:t xml:space="preserve">facciate in formato A4, copertina ed eventuali allegati esclusi, in formato leggibile (almeno carattere 12). </w:t>
      </w:r>
    </w:p>
    <w:p w14:paraId="4B5E5880" w14:textId="77777777" w:rsidR="00E233AC" w:rsidRPr="00CD263A" w:rsidRDefault="00E233AC" w:rsidP="00E233AC">
      <w:pPr>
        <w:spacing w:before="60" w:after="60"/>
        <w:rPr>
          <w:rFonts w:ascii="Titillium" w:hAnsi="Titillium" w:cs="Calibri"/>
          <w:sz w:val="18"/>
          <w:szCs w:val="18"/>
        </w:rPr>
      </w:pPr>
      <w:r w:rsidRPr="000565B4">
        <w:rPr>
          <w:rFonts w:ascii="Titillium" w:hAnsi="Titillium" w:cs="Calibri"/>
          <w:sz w:val="18"/>
          <w:szCs w:val="18"/>
        </w:rPr>
        <w:t>Possono essere allegati eventuali</w:t>
      </w:r>
      <w:r w:rsidRPr="00CD263A">
        <w:rPr>
          <w:rFonts w:ascii="Titillium" w:hAnsi="Titillium" w:cs="Calibri"/>
          <w:sz w:val="18"/>
          <w:szCs w:val="18"/>
        </w:rPr>
        <w:t xml:space="preserve"> tabelle e grafici purché facilmente leggibili.</w:t>
      </w:r>
    </w:p>
    <w:p w14:paraId="7D761325" w14:textId="77777777" w:rsidR="00E233AC" w:rsidRDefault="00E233AC" w:rsidP="00E233AC">
      <w:pPr>
        <w:spacing w:before="60" w:after="60"/>
        <w:rPr>
          <w:rFonts w:ascii="Titillium" w:hAnsi="Titillium" w:cs="Calibri"/>
          <w:sz w:val="18"/>
          <w:szCs w:val="18"/>
        </w:rPr>
      </w:pPr>
      <w:r>
        <w:rPr>
          <w:rFonts w:ascii="Titillium" w:hAnsi="Titillium" w:cs="Calibri"/>
          <w:sz w:val="18"/>
          <w:szCs w:val="18"/>
        </w:rPr>
        <w:t>La trattazione dovrà essere strettamente connessa al criterio trattato.</w:t>
      </w:r>
    </w:p>
    <w:p w14:paraId="35C95AD1" w14:textId="77777777" w:rsidR="00E233AC" w:rsidRPr="00AF481C" w:rsidRDefault="00E233AC" w:rsidP="00E233AC">
      <w:pPr>
        <w:spacing w:before="60" w:after="60"/>
      </w:pPr>
      <w:r w:rsidRPr="00AF481C">
        <w:rPr>
          <w:rFonts w:ascii="Titillium" w:hAnsi="Titillium" w:cs="Calibri"/>
          <w:sz w:val="18"/>
          <w:szCs w:val="18"/>
        </w:rPr>
        <w:t>L’offerta tecnica deve rispettare, pena l’esclusione dalla procedura di gara, le caratteristiche minime stabilite nei documenti di gara, nel rispetto del principio di equivalenza.</w:t>
      </w:r>
    </w:p>
    <w:p w14:paraId="08ADDED1" w14:textId="77777777" w:rsidR="00E233AC" w:rsidRPr="000836E9" w:rsidRDefault="00E233AC" w:rsidP="00E233AC">
      <w:pPr>
        <w:spacing w:before="60" w:after="60"/>
        <w:rPr>
          <w:rFonts w:ascii="Titillium" w:eastAsia="Calibri" w:hAnsi="Titillium"/>
          <w:color w:val="000000" w:themeColor="text1"/>
          <w:kern w:val="2"/>
          <w:sz w:val="18"/>
          <w:szCs w:val="18"/>
          <w:lang w:eastAsia="it-IT"/>
        </w:rPr>
      </w:pPr>
      <w:r w:rsidRPr="000836E9">
        <w:rPr>
          <w:rFonts w:ascii="Titillium" w:eastAsia="Calibri" w:hAnsi="Titillium"/>
          <w:color w:val="000000" w:themeColor="text1"/>
          <w:kern w:val="2"/>
          <w:sz w:val="18"/>
          <w:szCs w:val="18"/>
          <w:lang w:eastAsia="it-IT"/>
        </w:rPr>
        <w:t>L’offerta tecnica deve essere sottoscritta digitalmente dal legale rappresentante del concorrente o da un suo procuratore. Nel caso di concorrenti associati, l’offerta dovrà essere sottoscritta con le modalità indicate per la sottoscrizione della domanda di cui al paragrafo 15.1.</w:t>
      </w:r>
    </w:p>
    <w:p w14:paraId="4DBAADCA" w14:textId="1149B811" w:rsidR="00990568" w:rsidRDefault="00E233AC" w:rsidP="00E233AC">
      <w:pPr>
        <w:spacing w:before="60" w:after="60"/>
        <w:rPr>
          <w:rFonts w:ascii="Titillium" w:eastAsia="Calibri" w:hAnsi="Titillium"/>
          <w:color w:val="000000" w:themeColor="text1"/>
          <w:kern w:val="2"/>
          <w:sz w:val="18"/>
          <w:szCs w:val="18"/>
          <w:lang w:eastAsia="it-IT"/>
        </w:rPr>
      </w:pPr>
      <w:r w:rsidRPr="000836E9">
        <w:rPr>
          <w:rFonts w:ascii="Titillium" w:eastAsia="Calibri" w:hAnsi="Titillium"/>
          <w:color w:val="000000" w:themeColor="text1"/>
          <w:kern w:val="2"/>
          <w:sz w:val="18"/>
          <w:szCs w:val="18"/>
          <w:lang w:eastAsia="it-IT"/>
        </w:rPr>
        <w:t>La commissione giudicatrice potrà invitare i concorrenti a fornire chiarimenti in ordine ai documenti e alle dichiarazioni presentate nell’ambito della documentazione tecnica. La carenza sostanziale della documentazione tecnica complessivamente presentata dalle concorrenti, tale da non consentire la valutazione di quanto offerto da parte della commissione giudicatrice, comporta l’esclusione dalla gara.</w:t>
      </w:r>
    </w:p>
    <w:p w14:paraId="7E56DDE6" w14:textId="77777777" w:rsidR="00D85BE0" w:rsidRDefault="00D85BE0" w:rsidP="00D85BE0">
      <w:pPr>
        <w:spacing w:before="60" w:after="60"/>
        <w:rPr>
          <w:rFonts w:ascii="Titillium" w:hAnsi="Titillium" w:cs="Calibri"/>
          <w:sz w:val="18"/>
          <w:szCs w:val="18"/>
        </w:rPr>
      </w:pPr>
      <w:r w:rsidRPr="00674F1B">
        <w:rPr>
          <w:rFonts w:ascii="Titillium" w:hAnsi="Titillium" w:cs="Calibri"/>
          <w:b/>
          <w:bCs/>
          <w:sz w:val="18"/>
          <w:szCs w:val="18"/>
        </w:rPr>
        <w:t>La documentazione tecnica DEVE essere priva, a pena di esclusione, di qualsivoglia indicazione (diretta e/o indiretta) all’offerta economica e agli elementi economici in quest’ultima contenuti</w:t>
      </w:r>
      <w:r w:rsidRPr="00674F1B">
        <w:rPr>
          <w:rFonts w:ascii="Titillium" w:hAnsi="Titillium" w:cs="Calibri"/>
          <w:sz w:val="18"/>
          <w:szCs w:val="18"/>
        </w:rPr>
        <w:t>.</w:t>
      </w:r>
    </w:p>
    <w:p w14:paraId="440A8046" w14:textId="406D2FA2" w:rsidR="004C53A8" w:rsidRPr="00D85BE0" w:rsidRDefault="00870286" w:rsidP="00990568">
      <w:pPr>
        <w:pStyle w:val="Titolo2"/>
        <w:numPr>
          <w:ilvl w:val="0"/>
          <w:numId w:val="3"/>
        </w:numPr>
      </w:pPr>
      <w:r w:rsidRPr="00D85BE0">
        <w:rPr>
          <w:rFonts w:ascii="Titillium" w:hAnsi="Titillium"/>
          <w:sz w:val="18"/>
          <w:szCs w:val="18"/>
          <w:lang w:val="it-IT"/>
        </w:rPr>
        <w:t>OFFERTA</w:t>
      </w:r>
      <w:r w:rsidRPr="00D85BE0">
        <w:rPr>
          <w:rFonts w:ascii="Titillium" w:hAnsi="Titillium"/>
          <w:sz w:val="18"/>
          <w:szCs w:val="18"/>
        </w:rPr>
        <w:t xml:space="preserve"> ECONOMICA</w:t>
      </w:r>
      <w:bookmarkEnd w:id="1737"/>
    </w:p>
    <w:p w14:paraId="5361CF00" w14:textId="77777777" w:rsidR="00990568" w:rsidRPr="00990568" w:rsidRDefault="00990568" w:rsidP="00990568">
      <w:pPr>
        <w:spacing w:before="60" w:after="60"/>
        <w:ind w:hanging="11"/>
        <w:rPr>
          <w:rFonts w:ascii="Titillium" w:hAnsi="Titillium"/>
          <w:sz w:val="20"/>
          <w:szCs w:val="20"/>
        </w:rPr>
      </w:pPr>
      <w:bookmarkStart w:id="1738" w:name="_Toc483316490"/>
      <w:bookmarkStart w:id="1739" w:name="_Toc483316359"/>
      <w:bookmarkStart w:id="1740" w:name="_Toc483316227"/>
      <w:bookmarkStart w:id="1741" w:name="_Toc483316022"/>
      <w:bookmarkStart w:id="1742" w:name="_Toc483302401"/>
      <w:bookmarkStart w:id="1743" w:name="_Toc483233684"/>
      <w:bookmarkStart w:id="1744" w:name="_Toc482979724"/>
      <w:bookmarkStart w:id="1745" w:name="_Toc482979626"/>
      <w:bookmarkStart w:id="1746" w:name="_Toc482979528"/>
      <w:bookmarkStart w:id="1747" w:name="_Toc482979420"/>
      <w:bookmarkStart w:id="1748" w:name="_Toc482979311"/>
      <w:bookmarkStart w:id="1749" w:name="_Toc482979202"/>
      <w:bookmarkStart w:id="1750" w:name="_Toc482979091"/>
      <w:bookmarkStart w:id="1751" w:name="_Toc482978983"/>
      <w:bookmarkStart w:id="1752" w:name="_Toc482978874"/>
      <w:bookmarkStart w:id="1753" w:name="_Toc482959755"/>
      <w:bookmarkStart w:id="1754" w:name="_Toc482959645"/>
      <w:bookmarkStart w:id="1755" w:name="_Toc482959535"/>
      <w:bookmarkStart w:id="1756" w:name="_Toc482712747"/>
      <w:bookmarkStart w:id="1757" w:name="_Toc482641301"/>
      <w:bookmarkStart w:id="1758" w:name="_Toc482633124"/>
      <w:bookmarkStart w:id="1759" w:name="_Toc482352283"/>
      <w:bookmarkStart w:id="1760" w:name="_Toc482352193"/>
      <w:bookmarkStart w:id="1761" w:name="_Toc482352103"/>
      <w:bookmarkStart w:id="1762" w:name="_Toc482352013"/>
      <w:bookmarkStart w:id="1763" w:name="_Toc482102149"/>
      <w:bookmarkStart w:id="1764" w:name="_Toc482102055"/>
      <w:bookmarkStart w:id="1765" w:name="_Toc482101960"/>
      <w:bookmarkStart w:id="1766" w:name="_Toc482101865"/>
      <w:bookmarkStart w:id="1767" w:name="_Toc482101772"/>
      <w:bookmarkStart w:id="1768" w:name="_Toc482101597"/>
      <w:bookmarkStart w:id="1769" w:name="_Toc482101482"/>
      <w:bookmarkStart w:id="1770" w:name="_Toc482101345"/>
      <w:bookmarkStart w:id="1771" w:name="_Toc482100919"/>
      <w:bookmarkStart w:id="1772" w:name="_Toc482100762"/>
      <w:bookmarkStart w:id="1773" w:name="_Toc482099045"/>
      <w:bookmarkStart w:id="1774" w:name="_Toc482097943"/>
      <w:bookmarkStart w:id="1775" w:name="_Toc482097751"/>
      <w:bookmarkStart w:id="1776" w:name="_Toc482097662"/>
      <w:bookmarkStart w:id="1777" w:name="_Toc482097573"/>
      <w:bookmarkStart w:id="1778" w:name="_Toc482025749"/>
      <w:bookmarkStart w:id="1779" w:name="_Toc483401270"/>
      <w:bookmarkStart w:id="1780" w:name="_Toc483325793"/>
      <w:bookmarkStart w:id="1781" w:name="_Toc353990398"/>
      <w:bookmarkStart w:id="1782" w:name="_Ref498421982"/>
      <w:bookmarkStart w:id="1783" w:name="_Toc416423371"/>
      <w:bookmarkStart w:id="1784" w:name="_Toc406754188"/>
      <w:bookmarkStart w:id="1785" w:name="_Toc406058387"/>
      <w:bookmarkStart w:id="1786" w:name="_Toc403471279"/>
      <w:bookmarkStart w:id="1787" w:name="_Toc397422872"/>
      <w:bookmarkStart w:id="1788" w:name="_Toc397346831"/>
      <w:bookmarkStart w:id="1789" w:name="_Toc393706916"/>
      <w:bookmarkStart w:id="1790" w:name="_Toc393700843"/>
      <w:bookmarkStart w:id="1791" w:name="_Toc393283184"/>
      <w:bookmarkStart w:id="1792" w:name="_Toc393272668"/>
      <w:bookmarkStart w:id="1793" w:name="_Toc393272610"/>
      <w:bookmarkStart w:id="1794" w:name="_Toc393187854"/>
      <w:bookmarkStart w:id="1795" w:name="_Toc393112137"/>
      <w:bookmarkStart w:id="1796" w:name="_Toc393110573"/>
      <w:bookmarkStart w:id="1797" w:name="_Toc392577506"/>
      <w:bookmarkStart w:id="1798" w:name="_Toc391036065"/>
      <w:bookmarkStart w:id="1799" w:name="_Toc391035992"/>
      <w:bookmarkStart w:id="1800" w:name="_Toc380501879"/>
      <w:bookmarkStart w:id="1801" w:name="_Toc89270304"/>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r w:rsidRPr="00990568">
        <w:rPr>
          <w:rFonts w:ascii="Titillium" w:hAnsi="Titillium" w:cs="Calibri"/>
          <w:sz w:val="18"/>
          <w:szCs w:val="18"/>
        </w:rPr>
        <w:t>L’operatore economico inserisce la documentazione economica nella Piattaforma secondo le</w:t>
      </w:r>
      <w:r w:rsidRPr="00990568">
        <w:rPr>
          <w:rFonts w:ascii="Titillium" w:hAnsi="Titillium" w:cs="Calibri"/>
          <w:sz w:val="18"/>
          <w:szCs w:val="18"/>
          <w:lang w:val="x-none"/>
        </w:rPr>
        <w:t xml:space="preserve"> modalità esplicitate nelle guide per l’utilizzo della piattaforma SATER accessibili dal sito </w:t>
      </w:r>
      <w:hyperlink r:id="rId26" w:history="1">
        <w:r w:rsidRPr="00990568">
          <w:rPr>
            <w:rFonts w:ascii="Titillium" w:hAnsi="Titillium"/>
            <w:color w:val="0563C1" w:themeColor="hyperlink"/>
            <w:sz w:val="20"/>
            <w:szCs w:val="20"/>
            <w:u w:val="single"/>
          </w:rPr>
          <w:t>https://intercenter.regione.emilia-romagna.it/help/guide/manuali-oe/guide/</w:t>
        </w:r>
      </w:hyperlink>
    </w:p>
    <w:p w14:paraId="6A4F0C63" w14:textId="2ABFC0F7" w:rsidR="00990568" w:rsidRPr="00990568" w:rsidRDefault="00990568" w:rsidP="00990568">
      <w:pPr>
        <w:spacing w:before="60" w:after="60"/>
        <w:ind w:hanging="11"/>
        <w:rPr>
          <w:rFonts w:ascii="Titillium" w:hAnsi="Titillium" w:cs="Calibri"/>
          <w:sz w:val="18"/>
          <w:szCs w:val="18"/>
        </w:rPr>
      </w:pPr>
      <w:r w:rsidRPr="00990568">
        <w:rPr>
          <w:rFonts w:ascii="Titillium" w:hAnsi="Titillium" w:cs="Calibri"/>
          <w:sz w:val="18"/>
          <w:szCs w:val="18"/>
        </w:rPr>
        <w:t>L’offerta economica, firmata secondo le modalità di cui al precedente articolo 1</w:t>
      </w:r>
      <w:r w:rsidR="00035477">
        <w:rPr>
          <w:rFonts w:ascii="Titillium" w:hAnsi="Titillium" w:cs="Calibri"/>
          <w:sz w:val="18"/>
          <w:szCs w:val="18"/>
        </w:rPr>
        <w:t>5</w:t>
      </w:r>
      <w:r w:rsidRPr="00990568">
        <w:rPr>
          <w:rFonts w:ascii="Titillium" w:hAnsi="Titillium" w:cs="Calibri"/>
          <w:sz w:val="18"/>
          <w:szCs w:val="18"/>
        </w:rPr>
        <w:t>.1, deve indicare, a pena di esclusione, i seguenti elementi:</w:t>
      </w:r>
    </w:p>
    <w:p w14:paraId="759B268D" w14:textId="0F2D001A" w:rsidR="00990568" w:rsidRPr="00990568" w:rsidRDefault="00990568" w:rsidP="005D67CA">
      <w:pPr>
        <w:numPr>
          <w:ilvl w:val="0"/>
          <w:numId w:val="36"/>
        </w:numPr>
        <w:spacing w:before="60" w:after="60"/>
        <w:ind w:left="426"/>
        <w:rPr>
          <w:rFonts w:ascii="Titillium" w:eastAsia="Calibri" w:hAnsi="Titillium" w:cs="Calibri"/>
          <w:b/>
          <w:sz w:val="18"/>
          <w:szCs w:val="18"/>
          <w:u w:val="single"/>
          <w:lang w:eastAsia="it-IT"/>
        </w:rPr>
      </w:pPr>
      <w:r w:rsidRPr="00990568">
        <w:rPr>
          <w:rFonts w:ascii="Titillium" w:eastAsia="Calibri" w:hAnsi="Titillium" w:cs="Calibri"/>
          <w:b/>
          <w:sz w:val="18"/>
          <w:szCs w:val="18"/>
          <w:u w:val="single"/>
          <w:lang w:eastAsia="it-IT"/>
        </w:rPr>
        <w:t xml:space="preserve">il ribasso percentuale offerto sull’importo complessivo a base di gara (pari </w:t>
      </w:r>
      <w:r w:rsidRPr="00485E85">
        <w:rPr>
          <w:rFonts w:ascii="Titillium" w:eastAsia="Calibri" w:hAnsi="Titillium" w:cs="Calibri"/>
          <w:b/>
          <w:sz w:val="18"/>
          <w:szCs w:val="18"/>
          <w:u w:val="single"/>
          <w:lang w:eastAsia="it-IT"/>
        </w:rPr>
        <w:t xml:space="preserve">ad </w:t>
      </w:r>
      <w:r w:rsidRPr="00485E85">
        <w:rPr>
          <w:rFonts w:ascii="Titillium" w:eastAsia="Calibri" w:hAnsi="Titillium" w:cs="Calibri"/>
          <w:b/>
          <w:bCs/>
          <w:iCs/>
          <w:sz w:val="18"/>
          <w:szCs w:val="18"/>
          <w:u w:val="single"/>
          <w:lang w:eastAsia="it-IT"/>
        </w:rPr>
        <w:t xml:space="preserve">€ </w:t>
      </w:r>
      <w:r w:rsidR="008425D4">
        <w:rPr>
          <w:rFonts w:ascii="Titillium" w:eastAsia="Calibri" w:hAnsi="Titillium" w:cs="Calibri"/>
          <w:b/>
          <w:bCs/>
          <w:iCs/>
          <w:sz w:val="18"/>
          <w:szCs w:val="18"/>
          <w:u w:val="single"/>
          <w:lang w:eastAsia="it-IT"/>
        </w:rPr>
        <w:t>210</w:t>
      </w:r>
      <w:r w:rsidR="005A179C" w:rsidRPr="00485E85">
        <w:rPr>
          <w:rFonts w:ascii="Titillium" w:eastAsia="Calibri" w:hAnsi="Titillium" w:cs="Calibri"/>
          <w:b/>
          <w:bCs/>
          <w:iCs/>
          <w:sz w:val="18"/>
          <w:szCs w:val="18"/>
          <w:u w:val="single"/>
          <w:lang w:eastAsia="it-IT"/>
        </w:rPr>
        <w:t>.</w:t>
      </w:r>
      <w:r w:rsidR="008425D4">
        <w:rPr>
          <w:rFonts w:ascii="Titillium" w:eastAsia="Calibri" w:hAnsi="Titillium" w:cs="Calibri"/>
          <w:b/>
          <w:bCs/>
          <w:iCs/>
          <w:sz w:val="18"/>
          <w:szCs w:val="18"/>
          <w:u w:val="single"/>
          <w:lang w:eastAsia="it-IT"/>
        </w:rPr>
        <w:t>000</w:t>
      </w:r>
      <w:r w:rsidR="005A179C" w:rsidRPr="00485E85">
        <w:rPr>
          <w:rFonts w:ascii="Titillium" w:eastAsia="Calibri" w:hAnsi="Titillium" w:cs="Calibri"/>
          <w:b/>
          <w:bCs/>
          <w:iCs/>
          <w:sz w:val="18"/>
          <w:szCs w:val="18"/>
          <w:u w:val="single"/>
          <w:lang w:eastAsia="it-IT"/>
        </w:rPr>
        <w:t>,00</w:t>
      </w:r>
      <w:r w:rsidRPr="00485E85">
        <w:rPr>
          <w:rFonts w:ascii="Titillium" w:eastAsia="Calibri" w:hAnsi="Titillium" w:cs="Calibri"/>
          <w:b/>
          <w:sz w:val="18"/>
          <w:szCs w:val="18"/>
          <w:u w:val="single"/>
          <w:lang w:eastAsia="it-IT"/>
        </w:rPr>
        <w:t>), corrispondente</w:t>
      </w:r>
      <w:r w:rsidRPr="00990568">
        <w:rPr>
          <w:rFonts w:ascii="Titillium" w:eastAsia="Calibri" w:hAnsi="Titillium" w:cs="Calibri"/>
          <w:b/>
          <w:sz w:val="18"/>
          <w:szCs w:val="18"/>
          <w:u w:val="single"/>
          <w:lang w:eastAsia="it-IT"/>
        </w:rPr>
        <w:t xml:space="preserve"> al costo per l’esecuzione del servizio;</w:t>
      </w:r>
    </w:p>
    <w:p w14:paraId="5C22E156" w14:textId="77777777" w:rsidR="00990568" w:rsidRPr="00990568" w:rsidRDefault="00990568" w:rsidP="005D67CA">
      <w:pPr>
        <w:numPr>
          <w:ilvl w:val="0"/>
          <w:numId w:val="36"/>
        </w:numPr>
        <w:spacing w:before="60" w:after="60"/>
        <w:ind w:left="426"/>
        <w:rPr>
          <w:rFonts w:eastAsia="Calibri"/>
          <w:lang w:eastAsia="it-IT"/>
        </w:rPr>
      </w:pPr>
      <w:r w:rsidRPr="00990568">
        <w:rPr>
          <w:rFonts w:ascii="Titillium" w:eastAsia="Calibri" w:hAnsi="Titillium" w:cs="Calibri"/>
          <w:b/>
          <w:sz w:val="18"/>
          <w:szCs w:val="18"/>
          <w:lang w:eastAsia="it-IT"/>
        </w:rPr>
        <w:t>la stima dei costi aziendali</w:t>
      </w:r>
      <w:r w:rsidRPr="00990568">
        <w:rPr>
          <w:rFonts w:ascii="Titillium" w:eastAsia="Calibri" w:hAnsi="Titillium" w:cs="Calibri"/>
          <w:sz w:val="18"/>
          <w:szCs w:val="18"/>
          <w:lang w:eastAsia="it-IT"/>
        </w:rPr>
        <w:t xml:space="preserve"> relativi alla salute ed alla sicurezza sui luoghi di lavoro; </w:t>
      </w:r>
    </w:p>
    <w:p w14:paraId="1C5CE4F2" w14:textId="3015E35A" w:rsidR="0077134B" w:rsidRPr="00422FD8" w:rsidRDefault="0077134B" w:rsidP="0077134B">
      <w:pPr>
        <w:numPr>
          <w:ilvl w:val="0"/>
          <w:numId w:val="36"/>
        </w:numPr>
        <w:spacing w:before="60" w:after="60"/>
        <w:ind w:left="426"/>
        <w:rPr>
          <w:rFonts w:eastAsia="Calibri"/>
          <w:bCs/>
          <w:lang w:eastAsia="it-IT"/>
        </w:rPr>
      </w:pPr>
      <w:r w:rsidRPr="00990568">
        <w:rPr>
          <w:rFonts w:ascii="Titillium" w:eastAsia="Calibri" w:hAnsi="Titillium" w:cs="Calibri"/>
          <w:b/>
          <w:sz w:val="18"/>
          <w:szCs w:val="18"/>
          <w:lang w:eastAsia="it-IT"/>
        </w:rPr>
        <w:t>la stima dei costi della manodopera (ai sensi degli artt. 91 comma 5 e 108 comma 9)</w:t>
      </w:r>
      <w:r>
        <w:rPr>
          <w:rFonts w:ascii="Titillium" w:eastAsia="Calibri" w:hAnsi="Titillium" w:cs="Calibri"/>
          <w:b/>
          <w:sz w:val="18"/>
          <w:szCs w:val="18"/>
          <w:lang w:eastAsia="it-IT"/>
        </w:rPr>
        <w:t xml:space="preserve">; </w:t>
      </w:r>
      <w:r w:rsidRPr="00422FD8">
        <w:rPr>
          <w:rFonts w:ascii="Titillium" w:eastAsia="Calibri" w:hAnsi="Titillium" w:cs="Calibri"/>
          <w:bCs/>
          <w:sz w:val="18"/>
          <w:szCs w:val="18"/>
          <w:lang w:eastAsia="it-IT"/>
        </w:rPr>
        <w:t>a</w:t>
      </w:r>
      <w:r w:rsidRPr="00422FD8">
        <w:rPr>
          <w:rFonts w:ascii="Titillium" w:hAnsi="Titillium" w:cs="Calibri"/>
          <w:bCs/>
          <w:sz w:val="18"/>
          <w:szCs w:val="18"/>
        </w:rPr>
        <w:t xml:space="preserve">i sensi dell’articolo 41, comma 14, del D.lgs. 36/2023, i costi della manodopera stimati dalla Stazione appaltante e indicati al paragrafo 3) del presente disciplinare, pari a € </w:t>
      </w:r>
      <w:r w:rsidR="001C1CD5" w:rsidRPr="00422FD8">
        <w:rPr>
          <w:rFonts w:ascii="Titillium" w:hAnsi="Titillium" w:cs="Calibri"/>
          <w:bCs/>
          <w:sz w:val="18"/>
          <w:szCs w:val="18"/>
        </w:rPr>
        <w:t>156</w:t>
      </w:r>
      <w:r w:rsidRPr="00422FD8">
        <w:rPr>
          <w:rFonts w:ascii="Titillium" w:hAnsi="Titillium" w:cs="Calibri"/>
          <w:bCs/>
          <w:sz w:val="18"/>
          <w:szCs w:val="18"/>
        </w:rPr>
        <w:t>.</w:t>
      </w:r>
      <w:r w:rsidR="001C1CD5" w:rsidRPr="00422FD8">
        <w:rPr>
          <w:rFonts w:ascii="Titillium" w:hAnsi="Titillium" w:cs="Calibri"/>
          <w:bCs/>
          <w:sz w:val="18"/>
          <w:szCs w:val="18"/>
        </w:rPr>
        <w:t>796</w:t>
      </w:r>
      <w:r w:rsidRPr="00422FD8">
        <w:rPr>
          <w:rFonts w:ascii="Titillium" w:hAnsi="Titillium" w:cs="Calibri"/>
          <w:bCs/>
          <w:sz w:val="18"/>
          <w:szCs w:val="18"/>
        </w:rPr>
        <w:t>,</w:t>
      </w:r>
      <w:r w:rsidR="001C1CD5" w:rsidRPr="00422FD8">
        <w:rPr>
          <w:rFonts w:ascii="Titillium" w:hAnsi="Titillium" w:cs="Calibri"/>
          <w:bCs/>
          <w:sz w:val="18"/>
          <w:szCs w:val="18"/>
        </w:rPr>
        <w:t>50</w:t>
      </w:r>
      <w:r w:rsidRPr="00422FD8">
        <w:rPr>
          <w:rFonts w:ascii="Titillium" w:hAnsi="Titillium" w:cs="Calibri"/>
          <w:bCs/>
          <w:sz w:val="18"/>
          <w:szCs w:val="18"/>
        </w:rPr>
        <w:t xml:space="preserve"> per l’intera durata </w:t>
      </w:r>
      <w:r w:rsidR="0087718B" w:rsidRPr="00422FD8">
        <w:rPr>
          <w:rFonts w:ascii="Titillium" w:hAnsi="Titillium" w:cs="Calibri"/>
          <w:bCs/>
          <w:sz w:val="18"/>
          <w:szCs w:val="18"/>
        </w:rPr>
        <w:t xml:space="preserve">ordinaria </w:t>
      </w:r>
      <w:r w:rsidRPr="00422FD8">
        <w:rPr>
          <w:rFonts w:ascii="Titillium" w:hAnsi="Titillium" w:cs="Calibri"/>
          <w:bCs/>
          <w:sz w:val="18"/>
          <w:szCs w:val="18"/>
        </w:rPr>
        <w:t>dell’appalto sono scorporati dall’importo assoggettato al ribasso;</w:t>
      </w:r>
    </w:p>
    <w:p w14:paraId="32C7CDA4" w14:textId="77777777" w:rsidR="0077134B" w:rsidRPr="00702909" w:rsidRDefault="0077134B" w:rsidP="0077134B">
      <w:pPr>
        <w:numPr>
          <w:ilvl w:val="0"/>
          <w:numId w:val="36"/>
        </w:numPr>
        <w:spacing w:before="60" w:after="60"/>
        <w:ind w:left="426"/>
        <w:rPr>
          <w:rFonts w:eastAsia="Calibri"/>
          <w:lang w:eastAsia="it-IT"/>
        </w:rPr>
      </w:pPr>
      <w:r w:rsidRPr="003D6986">
        <w:rPr>
          <w:rFonts w:ascii="Titillium" w:eastAsia="Calibri" w:hAnsi="Titillium" w:cs="Calibri"/>
          <w:b/>
          <w:sz w:val="18"/>
          <w:szCs w:val="18"/>
          <w:lang w:eastAsia="it-IT"/>
        </w:rPr>
        <w:t>il CCNL applicato (campo modificabile e prevalorizzato con il medesimo valore impostato dalla S.A. in fase di indizione)</w:t>
      </w:r>
      <w:r>
        <w:rPr>
          <w:rFonts w:ascii="Titillium" w:eastAsia="Calibri" w:hAnsi="Titillium" w:cs="Calibri"/>
          <w:b/>
          <w:sz w:val="18"/>
          <w:szCs w:val="18"/>
          <w:lang w:eastAsia="it-IT"/>
        </w:rPr>
        <w:t>;</w:t>
      </w:r>
    </w:p>
    <w:p w14:paraId="60586919" w14:textId="76696977" w:rsidR="004414C4" w:rsidRPr="007B6C47" w:rsidRDefault="004414C4" w:rsidP="004414C4">
      <w:pPr>
        <w:spacing w:before="60" w:after="60"/>
        <w:ind w:left="66"/>
        <w:rPr>
          <w:rFonts w:eastAsia="Calibri"/>
          <w:lang w:eastAsia="it-IT"/>
        </w:rPr>
      </w:pPr>
      <w:r w:rsidRPr="007B6C47">
        <w:rPr>
          <w:rFonts w:ascii="Titillium" w:hAnsi="Titillium" w:cs="Calibri"/>
          <w:sz w:val="18"/>
          <w:szCs w:val="18"/>
        </w:rPr>
        <w:t xml:space="preserve">Il concorrente, inoltre, dovrà allegare obbligatoriamente nella busta economica il </w:t>
      </w:r>
      <w:r w:rsidRPr="007B6C47">
        <w:rPr>
          <w:rFonts w:ascii="Titillium" w:hAnsi="Titillium" w:cs="Calibri"/>
          <w:b/>
          <w:bCs/>
          <w:sz w:val="18"/>
          <w:szCs w:val="18"/>
        </w:rPr>
        <w:t>modulo di cui all’”</w:t>
      </w:r>
      <w:r w:rsidRPr="00524E55">
        <w:rPr>
          <w:rFonts w:ascii="Titillium" w:hAnsi="Titillium" w:cs="Calibri"/>
          <w:b/>
          <w:bCs/>
          <w:sz w:val="18"/>
          <w:szCs w:val="18"/>
        </w:rPr>
        <w:t xml:space="preserve">Allegato </w:t>
      </w:r>
      <w:r w:rsidR="007D72D4" w:rsidRPr="00524E55">
        <w:rPr>
          <w:rFonts w:ascii="Titillium" w:hAnsi="Titillium" w:cs="Calibri"/>
          <w:b/>
          <w:bCs/>
          <w:sz w:val="18"/>
          <w:szCs w:val="18"/>
        </w:rPr>
        <w:t>2</w:t>
      </w:r>
      <w:r w:rsidRPr="00524E55">
        <w:rPr>
          <w:rFonts w:ascii="Titillium" w:hAnsi="Titillium" w:cs="Calibri"/>
          <w:b/>
          <w:bCs/>
          <w:sz w:val="18"/>
          <w:szCs w:val="18"/>
        </w:rPr>
        <w:t>”,</w:t>
      </w:r>
      <w:r w:rsidRPr="00524E55">
        <w:rPr>
          <w:rFonts w:ascii="Titillium" w:hAnsi="Titillium" w:cs="Calibri"/>
          <w:sz w:val="18"/>
          <w:szCs w:val="18"/>
        </w:rPr>
        <w:t xml:space="preserve"> sottoscritto</w:t>
      </w:r>
      <w:r w:rsidRPr="007B6C47">
        <w:rPr>
          <w:rFonts w:ascii="Titillium" w:hAnsi="Titillium" w:cs="Calibri"/>
          <w:sz w:val="18"/>
          <w:szCs w:val="18"/>
        </w:rPr>
        <w:t xml:space="preserve"> con le modalità indicate al paragrafo 15.1, contenente:</w:t>
      </w:r>
    </w:p>
    <w:p w14:paraId="3AC4D693" w14:textId="2CD5FB60" w:rsidR="004414C4" w:rsidRPr="00A0574A" w:rsidRDefault="004414C4" w:rsidP="005D67CA">
      <w:pPr>
        <w:numPr>
          <w:ilvl w:val="0"/>
          <w:numId w:val="47"/>
        </w:numPr>
        <w:spacing w:before="60" w:after="60"/>
        <w:ind w:left="425"/>
        <w:rPr>
          <w:rFonts w:ascii="Titillium" w:hAnsi="Titillium" w:cs="Calibri"/>
          <w:sz w:val="18"/>
          <w:szCs w:val="18"/>
        </w:rPr>
      </w:pPr>
      <w:r w:rsidRPr="007B6C47">
        <w:rPr>
          <w:rFonts w:ascii="Titillium" w:hAnsi="Titillium" w:cs="Calibri"/>
          <w:sz w:val="18"/>
          <w:szCs w:val="18"/>
        </w:rPr>
        <w:t xml:space="preserve">la specificazione </w:t>
      </w:r>
      <w:r w:rsidR="00A0574A" w:rsidRPr="00A0574A">
        <w:rPr>
          <w:rFonts w:ascii="Titillium" w:hAnsi="Titillium" w:cs="Calibri"/>
          <w:sz w:val="18"/>
          <w:szCs w:val="18"/>
        </w:rPr>
        <w:t>dell’importo</w:t>
      </w:r>
      <w:r w:rsidR="00454033" w:rsidRPr="00A0574A">
        <w:rPr>
          <w:rFonts w:ascii="Titillium" w:hAnsi="Titillium" w:cs="Calibri"/>
          <w:sz w:val="18"/>
          <w:szCs w:val="18"/>
        </w:rPr>
        <w:t xml:space="preserve"> complessivo per l’esecuzione del servizio</w:t>
      </w:r>
      <w:r w:rsidRPr="00A0574A">
        <w:rPr>
          <w:rFonts w:ascii="Titillium" w:hAnsi="Titillium" w:cs="Calibri"/>
          <w:sz w:val="18"/>
          <w:szCs w:val="18"/>
        </w:rPr>
        <w:t>, scaturent</w:t>
      </w:r>
      <w:r w:rsidR="00271F06" w:rsidRPr="00A0574A">
        <w:rPr>
          <w:rFonts w:ascii="Titillium" w:hAnsi="Titillium" w:cs="Calibri"/>
          <w:sz w:val="18"/>
          <w:szCs w:val="18"/>
        </w:rPr>
        <w:t>e</w:t>
      </w:r>
      <w:r w:rsidRPr="00A0574A">
        <w:rPr>
          <w:rFonts w:ascii="Titillium" w:hAnsi="Titillium" w:cs="Calibri"/>
          <w:sz w:val="18"/>
          <w:szCs w:val="18"/>
        </w:rPr>
        <w:t xml:space="preserve"> dall’applicazione del ribasso percentuale offerto </w:t>
      </w:r>
      <w:r w:rsidR="00271F06" w:rsidRPr="00A0574A">
        <w:rPr>
          <w:rFonts w:ascii="Titillium" w:hAnsi="Titillium" w:cs="Calibri"/>
          <w:sz w:val="18"/>
          <w:szCs w:val="18"/>
        </w:rPr>
        <w:t>all’</w:t>
      </w:r>
      <w:r w:rsidRPr="00A0574A">
        <w:rPr>
          <w:rFonts w:ascii="Titillium" w:hAnsi="Titillium" w:cs="Calibri"/>
          <w:sz w:val="18"/>
          <w:szCs w:val="18"/>
        </w:rPr>
        <w:t>import</w:t>
      </w:r>
      <w:r w:rsidR="00271F06" w:rsidRPr="00A0574A">
        <w:rPr>
          <w:rFonts w:ascii="Titillium" w:hAnsi="Titillium" w:cs="Calibri"/>
          <w:sz w:val="18"/>
          <w:szCs w:val="18"/>
        </w:rPr>
        <w:t>o</w:t>
      </w:r>
      <w:r w:rsidRPr="00A0574A">
        <w:rPr>
          <w:rFonts w:ascii="Titillium" w:hAnsi="Titillium" w:cs="Calibri"/>
          <w:sz w:val="18"/>
          <w:szCs w:val="18"/>
        </w:rPr>
        <w:t xml:space="preserve"> post</w:t>
      </w:r>
      <w:r w:rsidR="00271F06" w:rsidRPr="00A0574A">
        <w:rPr>
          <w:rFonts w:ascii="Titillium" w:hAnsi="Titillium" w:cs="Calibri"/>
          <w:sz w:val="18"/>
          <w:szCs w:val="18"/>
        </w:rPr>
        <w:t>o</w:t>
      </w:r>
      <w:r w:rsidRPr="00A0574A">
        <w:rPr>
          <w:rFonts w:ascii="Titillium" w:hAnsi="Titillium" w:cs="Calibri"/>
          <w:sz w:val="18"/>
          <w:szCs w:val="18"/>
        </w:rPr>
        <w:t xml:space="preserve"> a base di gara pari € </w:t>
      </w:r>
      <w:r w:rsidR="00A0574A" w:rsidRPr="00A0574A">
        <w:rPr>
          <w:rFonts w:ascii="Titillium" w:hAnsi="Titillium" w:cs="Calibri"/>
          <w:sz w:val="18"/>
          <w:szCs w:val="18"/>
        </w:rPr>
        <w:t>210.000</w:t>
      </w:r>
      <w:r w:rsidR="005E5767">
        <w:rPr>
          <w:rFonts w:ascii="Titillium" w:hAnsi="Titillium" w:cs="Calibri"/>
          <w:sz w:val="18"/>
          <w:szCs w:val="18"/>
        </w:rPr>
        <w:t>,00</w:t>
      </w:r>
      <w:r w:rsidRPr="00A0574A">
        <w:rPr>
          <w:rFonts w:ascii="Titillium" w:hAnsi="Titillium" w:cs="Calibri"/>
          <w:sz w:val="18"/>
          <w:szCs w:val="18"/>
        </w:rPr>
        <w:t xml:space="preserve"> (IVA esclusa)</w:t>
      </w:r>
      <w:r w:rsidR="002078CC" w:rsidRPr="00A0574A">
        <w:rPr>
          <w:rFonts w:ascii="Titillium" w:hAnsi="Titillium" w:cs="Calibri"/>
          <w:sz w:val="18"/>
          <w:szCs w:val="18"/>
        </w:rPr>
        <w:t>.</w:t>
      </w:r>
    </w:p>
    <w:p w14:paraId="2C688DDC" w14:textId="445CC403" w:rsidR="004414C4" w:rsidRPr="007B6C47" w:rsidRDefault="004414C4" w:rsidP="00AB1F89">
      <w:pPr>
        <w:spacing w:before="60" w:after="60"/>
        <w:ind w:left="425"/>
        <w:rPr>
          <w:rFonts w:ascii="Titillium" w:hAnsi="Titillium" w:cs="Calibri"/>
          <w:b/>
          <w:sz w:val="18"/>
          <w:szCs w:val="18"/>
        </w:rPr>
      </w:pPr>
      <w:r w:rsidRPr="007B6C47">
        <w:rPr>
          <w:rFonts w:ascii="Titillium" w:hAnsi="Titillium" w:cs="Calibri"/>
          <w:b/>
          <w:sz w:val="18"/>
          <w:szCs w:val="18"/>
        </w:rPr>
        <w:t xml:space="preserve">Si chiarisce inoltre fin d’ora che, nel caso di eventuale discordanza tra il ribasso indicato sul SATER e quello indicato </w:t>
      </w:r>
      <w:r w:rsidRPr="00485E85">
        <w:rPr>
          <w:rFonts w:ascii="Titillium" w:hAnsi="Titillium" w:cs="Calibri"/>
          <w:b/>
          <w:sz w:val="18"/>
          <w:szCs w:val="18"/>
        </w:rPr>
        <w:t>nell’</w:t>
      </w:r>
      <w:r w:rsidR="00A545DD" w:rsidRPr="00485E85">
        <w:rPr>
          <w:rFonts w:ascii="Titillium" w:hAnsi="Titillium" w:cs="Calibri"/>
          <w:b/>
          <w:sz w:val="18"/>
          <w:szCs w:val="18"/>
        </w:rPr>
        <w:t>A</w:t>
      </w:r>
      <w:r w:rsidRPr="00485E85">
        <w:rPr>
          <w:rFonts w:ascii="Titillium" w:hAnsi="Titillium" w:cs="Calibri"/>
          <w:b/>
          <w:sz w:val="18"/>
          <w:szCs w:val="18"/>
        </w:rPr>
        <w:t xml:space="preserve">llegato </w:t>
      </w:r>
      <w:r w:rsidR="007C2B08">
        <w:rPr>
          <w:rFonts w:ascii="Titillium" w:hAnsi="Titillium" w:cs="Calibri"/>
          <w:b/>
          <w:sz w:val="18"/>
          <w:szCs w:val="18"/>
        </w:rPr>
        <w:t>2</w:t>
      </w:r>
      <w:r w:rsidRPr="00485E85">
        <w:rPr>
          <w:rFonts w:ascii="Titillium" w:hAnsi="Titillium" w:cs="Calibri"/>
          <w:b/>
          <w:sz w:val="18"/>
          <w:szCs w:val="18"/>
        </w:rPr>
        <w:t xml:space="preserve"> prevarrà</w:t>
      </w:r>
      <w:r w:rsidRPr="007B6C47">
        <w:rPr>
          <w:rFonts w:ascii="Titillium" w:hAnsi="Titillium" w:cs="Calibri"/>
          <w:b/>
          <w:sz w:val="18"/>
          <w:szCs w:val="18"/>
        </w:rPr>
        <w:t xml:space="preserve"> il ribasso indicato in SATER.</w:t>
      </w:r>
    </w:p>
    <w:p w14:paraId="4216FD33" w14:textId="0BA62D0F" w:rsidR="004414C4" w:rsidRPr="007B6C47" w:rsidRDefault="004414C4" w:rsidP="005D67CA">
      <w:pPr>
        <w:numPr>
          <w:ilvl w:val="0"/>
          <w:numId w:val="36"/>
        </w:numPr>
        <w:spacing w:before="60" w:after="60"/>
        <w:ind w:left="425"/>
        <w:rPr>
          <w:rFonts w:ascii="Titillium" w:eastAsia="Calibri" w:hAnsi="Titillium" w:cs="Calibri"/>
          <w:iCs/>
          <w:sz w:val="18"/>
          <w:szCs w:val="18"/>
          <w:lang w:eastAsia="it-IT"/>
        </w:rPr>
      </w:pPr>
      <w:r w:rsidRPr="007B6C47">
        <w:rPr>
          <w:rFonts w:ascii="Titillium" w:hAnsi="Titillium" w:cs="Calibri"/>
          <w:sz w:val="18"/>
          <w:szCs w:val="18"/>
          <w:lang w:eastAsia="it-IT"/>
        </w:rPr>
        <w:lastRenderedPageBreak/>
        <w:t xml:space="preserve">la dichiarazione in merito ai </w:t>
      </w:r>
      <w:r w:rsidRPr="007B6C47">
        <w:rPr>
          <w:rFonts w:ascii="Titillium" w:hAnsi="Titillium" w:cs="Calibri"/>
          <w:b/>
          <w:sz w:val="18"/>
          <w:szCs w:val="18"/>
          <w:lang w:eastAsia="it-IT"/>
        </w:rPr>
        <w:t>costi della manodopera</w:t>
      </w:r>
      <w:r w:rsidRPr="007B6C47">
        <w:rPr>
          <w:rFonts w:ascii="Titillium" w:hAnsi="Titillium" w:cs="Calibri"/>
          <w:sz w:val="18"/>
          <w:szCs w:val="18"/>
          <w:lang w:eastAsia="it-IT"/>
        </w:rPr>
        <w:t xml:space="preserve"> stimata per l’esecuzione del servizio (</w:t>
      </w:r>
      <w:r w:rsidRPr="007B6C47">
        <w:rPr>
          <w:rFonts w:ascii="Titillium" w:eastAsia="Calibri" w:hAnsi="Titillium" w:cs="Calibri"/>
          <w:iCs/>
          <w:sz w:val="18"/>
          <w:szCs w:val="18"/>
          <w:lang w:eastAsia="it-IT"/>
        </w:rPr>
        <w:t xml:space="preserve">l'importo è da inserire SIA nel modulo </w:t>
      </w:r>
      <w:r w:rsidRPr="00485E85">
        <w:rPr>
          <w:rFonts w:ascii="Titillium" w:eastAsia="Calibri" w:hAnsi="Titillium" w:cs="Calibri"/>
          <w:iCs/>
          <w:sz w:val="18"/>
          <w:szCs w:val="18"/>
          <w:lang w:eastAsia="it-IT"/>
        </w:rPr>
        <w:t xml:space="preserve">di cui all’Allegato </w:t>
      </w:r>
      <w:r w:rsidR="003174CE">
        <w:rPr>
          <w:rFonts w:ascii="Titillium" w:eastAsia="Calibri" w:hAnsi="Titillium" w:cs="Calibri"/>
          <w:iCs/>
          <w:sz w:val="18"/>
          <w:szCs w:val="18"/>
          <w:lang w:eastAsia="it-IT"/>
        </w:rPr>
        <w:t>2</w:t>
      </w:r>
      <w:r w:rsidRPr="00485E85">
        <w:rPr>
          <w:rFonts w:ascii="Titillium" w:eastAsia="Calibri" w:hAnsi="Titillium" w:cs="Calibri"/>
          <w:iCs/>
          <w:sz w:val="18"/>
          <w:szCs w:val="18"/>
          <w:lang w:eastAsia="it-IT"/>
        </w:rPr>
        <w:t xml:space="preserve"> SIA sulla piattaforma</w:t>
      </w:r>
      <w:r w:rsidRPr="007B6C47">
        <w:rPr>
          <w:rFonts w:ascii="Titillium" w:eastAsia="Calibri" w:hAnsi="Titillium" w:cs="Calibri"/>
          <w:iCs/>
          <w:sz w:val="18"/>
          <w:szCs w:val="18"/>
          <w:lang w:eastAsia="it-IT"/>
        </w:rPr>
        <w:t xml:space="preserve"> “SATER” nel campo “COSTI MANODOPERA” dell’offerta economica</w:t>
      </w:r>
      <w:r w:rsidR="00FB2196" w:rsidRPr="007B6C47">
        <w:rPr>
          <w:rFonts w:ascii="Titillium" w:eastAsia="Calibri" w:hAnsi="Titillium" w:cs="Calibri"/>
          <w:iCs/>
          <w:sz w:val="18"/>
          <w:szCs w:val="18"/>
          <w:lang w:eastAsia="it-IT"/>
        </w:rPr>
        <w:t>)</w:t>
      </w:r>
      <w:r w:rsidRPr="007B6C47">
        <w:rPr>
          <w:rFonts w:ascii="Titillium" w:eastAsia="Calibri" w:hAnsi="Titillium" w:cs="Calibri"/>
          <w:b/>
          <w:bCs/>
          <w:iCs/>
          <w:sz w:val="18"/>
          <w:szCs w:val="18"/>
          <w:lang w:eastAsia="it-IT"/>
        </w:rPr>
        <w:t>.</w:t>
      </w:r>
    </w:p>
    <w:p w14:paraId="06FC63EC" w14:textId="2C92FE74" w:rsidR="004414C4" w:rsidRPr="004414C4" w:rsidRDefault="004414C4" w:rsidP="00AB1F89">
      <w:pPr>
        <w:spacing w:before="60" w:after="60"/>
        <w:ind w:left="425"/>
        <w:rPr>
          <w:rFonts w:ascii="Titillium" w:eastAsia="Calibri" w:hAnsi="Titillium" w:cs="Calibri"/>
          <w:iCs/>
          <w:sz w:val="18"/>
          <w:szCs w:val="18"/>
          <w:lang w:eastAsia="it-IT"/>
        </w:rPr>
      </w:pPr>
      <w:r w:rsidRPr="007B6C47">
        <w:rPr>
          <w:rFonts w:ascii="Titillium" w:eastAsia="Calibri" w:hAnsi="Titillium" w:cs="Calibri"/>
          <w:iCs/>
          <w:sz w:val="18"/>
          <w:szCs w:val="18"/>
          <w:lang w:eastAsia="it-IT"/>
        </w:rPr>
        <w:t xml:space="preserve">Si chiarisce inoltre fin d’ora che, nel caso di eventuale discordanza tra la cifra indicata quali costi della manodopera stimata dall’operatore economico nell’offerta economica e quella indicata nell’allegato </w:t>
      </w:r>
      <w:r w:rsidR="00FE5CE9">
        <w:rPr>
          <w:rFonts w:ascii="Titillium" w:eastAsia="Calibri" w:hAnsi="Titillium" w:cs="Calibri"/>
          <w:iCs/>
          <w:sz w:val="18"/>
          <w:szCs w:val="18"/>
          <w:lang w:eastAsia="it-IT"/>
        </w:rPr>
        <w:t>2</w:t>
      </w:r>
      <w:r w:rsidRPr="007B6C47">
        <w:rPr>
          <w:rFonts w:ascii="Titillium" w:eastAsia="Calibri" w:hAnsi="Titillium" w:cs="Calibri"/>
          <w:iCs/>
          <w:sz w:val="18"/>
          <w:szCs w:val="18"/>
          <w:lang w:eastAsia="it-IT"/>
        </w:rPr>
        <w:t xml:space="preserve"> (allegato all’offerta economica), si considererà valido il valore indicato nell’offerta economica indicato su SATER.</w:t>
      </w:r>
    </w:p>
    <w:p w14:paraId="1B9218C6" w14:textId="77777777" w:rsidR="004414C4" w:rsidRPr="007B6C47" w:rsidRDefault="004414C4" w:rsidP="00AB1F89">
      <w:pPr>
        <w:spacing w:before="60" w:after="60"/>
        <w:ind w:left="425"/>
        <w:rPr>
          <w:rFonts w:ascii="Titillium" w:eastAsia="Calibri" w:hAnsi="Titillium" w:cs="Calibri"/>
          <w:b/>
          <w:bCs/>
          <w:i/>
          <w:sz w:val="18"/>
          <w:szCs w:val="18"/>
          <w:lang w:eastAsia="it-IT"/>
        </w:rPr>
      </w:pPr>
      <w:r w:rsidRPr="007B6C47">
        <w:rPr>
          <w:rFonts w:ascii="Titillium" w:eastAsia="Calibri" w:hAnsi="Titillium" w:cs="Calibri"/>
          <w:b/>
          <w:bCs/>
          <w:i/>
          <w:sz w:val="18"/>
          <w:szCs w:val="18"/>
          <w:lang w:eastAsia="it-IT"/>
        </w:rPr>
        <w:t>Nel solo caso in cui la discordanza derivi da mero errore di trascrizione percepibile ictu oculi si procederà a emendamento d'ufficio. (cfr. Cons. Stato, sez. III, 28.5.2014 n. 1487 - Cons. Stato, sez. V, 30.1.2023 n. 1034 - Cons. Stato, sez. V, 3.2.2025 n. 804).</w:t>
      </w:r>
    </w:p>
    <w:p w14:paraId="4ECD14B5" w14:textId="77777777" w:rsidR="004414C4" w:rsidRPr="004414C4" w:rsidRDefault="004414C4" w:rsidP="005D67CA">
      <w:pPr>
        <w:numPr>
          <w:ilvl w:val="0"/>
          <w:numId w:val="36"/>
        </w:numPr>
        <w:spacing w:before="60" w:after="60" w:line="240" w:lineRule="auto"/>
        <w:ind w:left="426"/>
        <w:rPr>
          <w:rFonts w:ascii="Titillium" w:eastAsia="Calibri" w:hAnsi="Titillium" w:cs="Calibri"/>
          <w:bCs/>
          <w:iCs/>
          <w:sz w:val="18"/>
          <w:szCs w:val="18"/>
          <w:lang w:eastAsia="it-IT"/>
        </w:rPr>
      </w:pPr>
      <w:r w:rsidRPr="004414C4">
        <w:rPr>
          <w:rFonts w:ascii="Titillium" w:hAnsi="Titillium" w:cs="Calibri"/>
          <w:b/>
          <w:bCs/>
          <w:sz w:val="18"/>
          <w:szCs w:val="18"/>
          <w:lang w:eastAsia="it-IT"/>
        </w:rPr>
        <w:t>la</w:t>
      </w:r>
      <w:r w:rsidRPr="004414C4">
        <w:rPr>
          <w:rFonts w:ascii="Titillium" w:eastAsia="Calibri" w:hAnsi="Titillium" w:cs="Calibri"/>
          <w:b/>
          <w:bCs/>
          <w:iCs/>
          <w:sz w:val="18"/>
          <w:szCs w:val="18"/>
          <w:lang w:eastAsia="it-IT"/>
        </w:rPr>
        <w:t xml:space="preserve"> scomposizione dei costi della manodopera</w:t>
      </w:r>
      <w:r w:rsidRPr="004414C4">
        <w:rPr>
          <w:rFonts w:ascii="Titillium" w:eastAsia="Calibri" w:hAnsi="Titillium" w:cs="Calibri"/>
          <w:bCs/>
          <w:iCs/>
          <w:sz w:val="18"/>
          <w:szCs w:val="18"/>
          <w:lang w:eastAsia="it-IT"/>
        </w:rPr>
        <w:t xml:space="preserve"> stimata per l’esecuzione dell’appalto.</w:t>
      </w:r>
    </w:p>
    <w:p w14:paraId="123908C4" w14:textId="77777777" w:rsidR="004414C4" w:rsidRPr="00990568" w:rsidRDefault="004414C4" w:rsidP="00990568">
      <w:pPr>
        <w:spacing w:before="60" w:after="60"/>
        <w:ind w:hanging="11"/>
        <w:rPr>
          <w:rFonts w:ascii="Titillium" w:hAnsi="Titillium" w:cs="Calibri"/>
          <w:b/>
          <w:sz w:val="18"/>
          <w:szCs w:val="18"/>
        </w:rPr>
      </w:pPr>
    </w:p>
    <w:p w14:paraId="5F016BEA" w14:textId="17986CC5" w:rsidR="00A96B74" w:rsidRPr="00A96B74" w:rsidRDefault="00A96B74" w:rsidP="00A96B74">
      <w:pPr>
        <w:spacing w:before="60" w:after="60"/>
        <w:rPr>
          <w:rFonts w:ascii="Titillium" w:hAnsi="Titillium" w:cs="Calibri"/>
          <w:b/>
          <w:sz w:val="18"/>
          <w:szCs w:val="18"/>
        </w:rPr>
      </w:pPr>
      <w:r w:rsidRPr="00A96B74">
        <w:rPr>
          <w:rFonts w:ascii="Titillium" w:hAnsi="Titillium" w:cs="Calibri"/>
          <w:b/>
          <w:color w:val="4EA72E"/>
          <w:sz w:val="18"/>
          <w:szCs w:val="18"/>
        </w:rPr>
        <w:t xml:space="preserve">Nel caso il CCNL applicato dall’operatore economico sia diverso rispetto a quello indicato nei documenti di gara, l’offerta economica dovrà essere accompagnata dalla “Dichiarazione di equivalenza delle tutele” (“Allegato </w:t>
      </w:r>
      <w:r w:rsidR="008A58AE">
        <w:rPr>
          <w:rFonts w:ascii="Titillium" w:hAnsi="Titillium" w:cs="Calibri"/>
          <w:b/>
          <w:color w:val="4EA72E"/>
          <w:sz w:val="18"/>
          <w:szCs w:val="18"/>
        </w:rPr>
        <w:t>3</w:t>
      </w:r>
      <w:r w:rsidRPr="00A96B74">
        <w:rPr>
          <w:rFonts w:ascii="Titillium" w:hAnsi="Titillium" w:cs="Calibri"/>
          <w:b/>
          <w:color w:val="4EA72E"/>
          <w:sz w:val="18"/>
          <w:szCs w:val="18"/>
        </w:rPr>
        <w:t xml:space="preserve">”) di cui all’art. 11 comma 4 del Codice. </w:t>
      </w:r>
      <w:r w:rsidRPr="00A96B74">
        <w:rPr>
          <w:rFonts w:ascii="Titillium" w:hAnsi="Titillium" w:cs="Calibri"/>
          <w:b/>
          <w:sz w:val="18"/>
          <w:szCs w:val="18"/>
        </w:rPr>
        <w:t>La mancata anticipazione della dichiarazione di equivalenza delle tutele non costituisce causa di esclusione.</w:t>
      </w:r>
    </w:p>
    <w:p w14:paraId="5495EAAA" w14:textId="77777777" w:rsidR="00A96B74" w:rsidRPr="00A96B74" w:rsidRDefault="00A96B74" w:rsidP="00A96B74">
      <w:pPr>
        <w:spacing w:before="60" w:after="60"/>
        <w:rPr>
          <w:rFonts w:ascii="Titillium" w:hAnsi="Titillium" w:cs="Calibri"/>
          <w:b/>
          <w:sz w:val="18"/>
          <w:szCs w:val="18"/>
        </w:rPr>
      </w:pPr>
      <w:r w:rsidRPr="00A96B74">
        <w:rPr>
          <w:rFonts w:ascii="Titillium" w:hAnsi="Titillium" w:cs="Calibri"/>
          <w:b/>
          <w:sz w:val="18"/>
          <w:szCs w:val="18"/>
        </w:rPr>
        <w:t>La dichiarazione di equivalenza delle tutele economiche e normative garantite dall’eventuale diverso contratto collettivo di lavoro indicato dall’operatore economico sarà oggetto di verifica, da parte del RUP, nei confronti dell’aggiudicatario proposto, con le modalità dell’art. 110, commi 1 e 2, ai sensi dell’art. 5 dell’Allegato I.0I del D.Lgs.n.36/2023.</w:t>
      </w:r>
    </w:p>
    <w:p w14:paraId="165862DD" w14:textId="77777777" w:rsidR="00A96B74" w:rsidRPr="00A96B74" w:rsidRDefault="00A96B74" w:rsidP="00A96B74">
      <w:pPr>
        <w:spacing w:before="60" w:after="60"/>
        <w:ind w:hanging="11"/>
        <w:rPr>
          <w:rFonts w:ascii="Titillium" w:hAnsi="Titillium" w:cs="Calibri"/>
          <w:b/>
          <w:color w:val="4EA72E"/>
          <w:sz w:val="18"/>
          <w:szCs w:val="18"/>
        </w:rPr>
      </w:pPr>
    </w:p>
    <w:p w14:paraId="57D5695D" w14:textId="77777777" w:rsidR="00A96B74" w:rsidRPr="00A96B74" w:rsidRDefault="00A96B74" w:rsidP="00A96B74">
      <w:pPr>
        <w:spacing w:before="60" w:after="60"/>
        <w:ind w:hanging="11"/>
        <w:rPr>
          <w:rFonts w:ascii="Titillium" w:hAnsi="Titillium" w:cs="Calibri"/>
          <w:b/>
          <w:sz w:val="18"/>
          <w:szCs w:val="18"/>
        </w:rPr>
      </w:pPr>
      <w:r w:rsidRPr="00A96B74">
        <w:rPr>
          <w:rFonts w:ascii="Titillium" w:hAnsi="Titillium" w:cs="Calibri"/>
          <w:b/>
          <w:color w:val="4EA72E"/>
          <w:sz w:val="18"/>
          <w:szCs w:val="18"/>
        </w:rPr>
        <w:t>Nel caso di costi della manodopera inferiori a quelli stimati dalla stazione appaltante e indicati nei documenti di gara, l’operatore economico è tenuto a presentare nella busta economica una dichiarazione integrativa</w:t>
      </w:r>
      <w:r w:rsidRPr="00A96B74">
        <w:rPr>
          <w:rFonts w:ascii="Titillium" w:hAnsi="Titillium" w:cs="Calibri"/>
          <w:b/>
          <w:sz w:val="18"/>
          <w:szCs w:val="18"/>
        </w:rPr>
        <w:t>, firmata digitalmente dal legale rappresentante ai sensi del D.P.R. 445/2000, in cui dimostri che tale importo deriva da una più efficiente organizzazione aziendale, adducendo come motivazione una migliore organizzazione del lavoro e/o la possibilità di beneficiare di sgravi fiscali o contributivi, che non comportano penalizzazioni per la manodopera, allegando documentazione. La mancata anticipazione di motivazioni e/o giustificativi non costituisce causa di esclusione.</w:t>
      </w:r>
    </w:p>
    <w:p w14:paraId="3137EDA7" w14:textId="77777777" w:rsidR="00A96B74" w:rsidRPr="00A96B74" w:rsidRDefault="00A96B74" w:rsidP="00A96B74">
      <w:pPr>
        <w:spacing w:before="60" w:after="60"/>
        <w:ind w:hanging="11"/>
        <w:rPr>
          <w:rFonts w:ascii="Titillium" w:hAnsi="Titillium" w:cs="Calibri"/>
          <w:b/>
          <w:sz w:val="18"/>
          <w:szCs w:val="18"/>
        </w:rPr>
      </w:pPr>
      <w:r w:rsidRPr="00A96B74">
        <w:rPr>
          <w:rFonts w:ascii="Titillium" w:hAnsi="Titillium" w:cs="Calibri"/>
          <w:b/>
          <w:sz w:val="18"/>
          <w:szCs w:val="18"/>
        </w:rPr>
        <w:t>Nell’ambito della verifica di anomalia dell’offerta sarà eventualmente possibile per l’operatore economico dimostrare che il ribasso complessivo dell’importo deriva da una più efficiente organizzazione aziendale.</w:t>
      </w:r>
    </w:p>
    <w:p w14:paraId="0F9506EA" w14:textId="6C0A9E7E" w:rsidR="00990568" w:rsidRPr="00990EFA" w:rsidRDefault="00990568" w:rsidP="00990568">
      <w:pPr>
        <w:spacing w:before="60" w:after="60"/>
        <w:rPr>
          <w:rFonts w:ascii="Titillium" w:hAnsi="Titillium" w:cs="Calibri"/>
          <w:i/>
          <w:iCs/>
          <w:sz w:val="22"/>
        </w:rPr>
      </w:pPr>
      <w:r w:rsidRPr="00990EFA">
        <w:rPr>
          <w:rFonts w:ascii="Titillium" w:hAnsi="Titillium" w:cs="Calibri"/>
          <w:b/>
          <w:i/>
          <w:iCs/>
          <w:sz w:val="22"/>
        </w:rPr>
        <w:t>La mancata specificazione, nell’ambito dell’offerta economica, dei costi di manodopera comporta l’esclusione dalla gara</w:t>
      </w:r>
      <w:r w:rsidRPr="00990EFA">
        <w:rPr>
          <w:rFonts w:ascii="Titillium" w:hAnsi="Titillium" w:cs="Calibri"/>
          <w:i/>
          <w:iCs/>
          <w:sz w:val="22"/>
        </w:rPr>
        <w:t>.</w:t>
      </w:r>
    </w:p>
    <w:p w14:paraId="6336F435" w14:textId="29100B45" w:rsidR="00990568" w:rsidRDefault="00990568" w:rsidP="00990568">
      <w:pPr>
        <w:spacing w:before="60" w:after="60"/>
        <w:rPr>
          <w:rFonts w:ascii="Titillium" w:hAnsi="Titillium" w:cs="Calibri"/>
          <w:sz w:val="18"/>
          <w:szCs w:val="18"/>
        </w:rPr>
      </w:pPr>
      <w:r w:rsidRPr="00990568">
        <w:rPr>
          <w:rFonts w:ascii="Titillium" w:hAnsi="Titillium" w:cs="Calibri"/>
          <w:sz w:val="18"/>
          <w:szCs w:val="18"/>
        </w:rPr>
        <w:t>Verranno prese in considerazione fino a due cifre decimali, con eventuale arrotondamento all’unità superiore o inferiore qualora la terza cifra decimale risulti pari/superiore o inferiore a cinque.</w:t>
      </w:r>
    </w:p>
    <w:p w14:paraId="0BD5FFB9" w14:textId="77777777" w:rsidR="00990568" w:rsidRPr="00990568" w:rsidRDefault="00990568" w:rsidP="00990568">
      <w:pPr>
        <w:spacing w:before="60" w:after="60"/>
        <w:rPr>
          <w:rFonts w:ascii="Titillium" w:hAnsi="Titillium"/>
          <w:sz w:val="18"/>
          <w:szCs w:val="18"/>
        </w:rPr>
      </w:pPr>
      <w:r w:rsidRPr="00990568">
        <w:rPr>
          <w:rFonts w:ascii="Titillium" w:hAnsi="Titillium"/>
          <w:sz w:val="18"/>
          <w:szCs w:val="18"/>
        </w:rPr>
        <w:t xml:space="preserve">Sono inammissibili le offerte economiche che superino l’importo a base di gara. </w:t>
      </w:r>
    </w:p>
    <w:p w14:paraId="2BC00CB0" w14:textId="77777777" w:rsidR="00990568" w:rsidRPr="00990568" w:rsidRDefault="00990568" w:rsidP="00990568">
      <w:pPr>
        <w:spacing w:before="60" w:after="60"/>
        <w:rPr>
          <w:rFonts w:ascii="Titillium" w:hAnsi="Titillium"/>
          <w:sz w:val="18"/>
          <w:szCs w:val="18"/>
        </w:rPr>
      </w:pPr>
      <w:r w:rsidRPr="00990568">
        <w:rPr>
          <w:rFonts w:ascii="Titillium" w:hAnsi="Titillium"/>
          <w:sz w:val="18"/>
          <w:szCs w:val="18"/>
        </w:rPr>
        <w:t>L’offerta economica è sottoscritta digitalmente dal legale rappresentante del concorrente o da un suo procuratore; nel caso di concorrenti associati, l’offerta dovrà essere sottoscritta con le modalità indicate per la sottoscrizione della domanda di cui al paragrafo 15.1.</w:t>
      </w:r>
    </w:p>
    <w:p w14:paraId="01B3836C" w14:textId="77777777" w:rsidR="00990568" w:rsidRDefault="00990568" w:rsidP="00990568">
      <w:pPr>
        <w:spacing w:before="60" w:after="60"/>
        <w:rPr>
          <w:rFonts w:ascii="Titillium" w:hAnsi="Titillium"/>
          <w:sz w:val="18"/>
          <w:szCs w:val="18"/>
        </w:rPr>
      </w:pPr>
      <w:r w:rsidRPr="00990568">
        <w:rPr>
          <w:rFonts w:ascii="Titillium" w:hAnsi="Titillium"/>
          <w:sz w:val="18"/>
          <w:szCs w:val="18"/>
        </w:rPr>
        <w:t>Con la presentazione dell’offerta, in caso di aggiudicazione, il concorrente si obbliga irrevocabilmente nei confronti del committente ad eseguire le prestazioni oggetto di gara in conformità a quanto indicato nell’offerta tecnica e nell’offerta economica. Gli oneri fiscali sono in conformità alle leggi vigenti.</w:t>
      </w:r>
    </w:p>
    <w:p w14:paraId="1DEA508B" w14:textId="77777777" w:rsidR="00990EFA" w:rsidRPr="00990EFA" w:rsidRDefault="00990EFA" w:rsidP="00990EFA">
      <w:pPr>
        <w:spacing w:before="60"/>
        <w:rPr>
          <w:rFonts w:ascii="Titillium" w:hAnsi="Titillium"/>
          <w:sz w:val="18"/>
          <w:szCs w:val="18"/>
        </w:rPr>
      </w:pPr>
      <w:r w:rsidRPr="00990EFA">
        <w:rPr>
          <w:rFonts w:ascii="Titillium" w:hAnsi="Titillium"/>
          <w:sz w:val="18"/>
          <w:szCs w:val="18"/>
        </w:rPr>
        <w:t>L’operatore economico allega una dichiarazione firmata contenente i dettagli degli eventuali allegati all’offerta economica coperti da riservatezza, argomentando in modo congruo le ragioni per le quali eventuali parti sono da segretare. Il concorrente a tal fine allega anche una copia firmata degli eventuali allegati all’offerta economica adeguatamente oscurati nelle parti ritenute costituenti segreti tecnici e commerciali. Resta ferma, la facoltà della stazione appaltante di valutare la fondatezza delle motivazioni addotte e di chiedere al concorrente di dimostrare la tangibile sussistenza di eventuali segreti tecnici e commerciali.</w:t>
      </w:r>
    </w:p>
    <w:p w14:paraId="4120A7C8" w14:textId="77777777" w:rsidR="00990EFA" w:rsidRPr="00990EFA" w:rsidRDefault="00990EFA" w:rsidP="00990EFA">
      <w:pPr>
        <w:spacing w:before="60"/>
        <w:rPr>
          <w:rFonts w:ascii="Titillium" w:hAnsi="Titillium"/>
          <w:b/>
          <w:bCs/>
          <w:sz w:val="18"/>
          <w:szCs w:val="18"/>
        </w:rPr>
      </w:pPr>
      <w:r w:rsidRPr="00990EFA">
        <w:rPr>
          <w:rFonts w:ascii="Titillium" w:hAnsi="Titillium"/>
          <w:b/>
          <w:bCs/>
          <w:sz w:val="18"/>
          <w:szCs w:val="18"/>
        </w:rPr>
        <w:t>IMPORTANTE: Si fa presente fin da ora che, nel caso nulla venga dichiarato in merito nell'ambito dell'offerta economica, la Stazione Appaltante presumerà che non sussista nella stessa alcun segreto tecnico e/o commerciale da sottrarre all'accesso.</w:t>
      </w:r>
    </w:p>
    <w:p w14:paraId="4FB1C7A3" w14:textId="1DDB1162" w:rsidR="004C53A8" w:rsidRPr="00647E94" w:rsidRDefault="00870286" w:rsidP="008300A5">
      <w:pPr>
        <w:pStyle w:val="Titolo2"/>
        <w:numPr>
          <w:ilvl w:val="0"/>
          <w:numId w:val="3"/>
        </w:numPr>
        <w:ind w:left="357" w:hanging="357"/>
        <w:rPr>
          <w:rFonts w:ascii="Titillium" w:hAnsi="Titillium"/>
          <w:sz w:val="18"/>
          <w:szCs w:val="18"/>
        </w:rPr>
      </w:pPr>
      <w:r w:rsidRPr="00647E94">
        <w:rPr>
          <w:rFonts w:ascii="Titillium" w:hAnsi="Titillium"/>
          <w:sz w:val="18"/>
          <w:szCs w:val="18"/>
        </w:rPr>
        <w:lastRenderedPageBreak/>
        <w:t>CRITERIO DI AGGIUDICAZIONE</w:t>
      </w:r>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p>
    <w:p w14:paraId="72449845" w14:textId="77777777" w:rsidR="004C53A8" w:rsidRDefault="00870286">
      <w:pPr>
        <w:spacing w:before="60" w:after="60"/>
        <w:rPr>
          <w:rFonts w:ascii="Titillium" w:hAnsi="Titillium" w:cs="Calibri"/>
          <w:sz w:val="18"/>
          <w:szCs w:val="18"/>
          <w:lang w:eastAsia="it-IT"/>
        </w:rPr>
      </w:pPr>
      <w:r>
        <w:rPr>
          <w:rFonts w:ascii="Titillium" w:hAnsi="Titillium" w:cs="Calibri"/>
          <w:sz w:val="18"/>
          <w:szCs w:val="18"/>
          <w:lang w:eastAsia="it-IT"/>
        </w:rPr>
        <w:t>L’appalto è aggiudicato in base al criterio dell’offerta economicamente più vantaggiosa individuata sulla base del miglior rapporto qualità/prezzo, ai sensi dell’articolo 95, comma 2 del Codice.</w:t>
      </w:r>
    </w:p>
    <w:p w14:paraId="4C928A06" w14:textId="239B35BA" w:rsidR="004C53A8" w:rsidRDefault="00F81904">
      <w:pPr>
        <w:spacing w:before="60" w:after="60"/>
        <w:rPr>
          <w:rFonts w:ascii="Titillium" w:hAnsi="Titillium" w:cs="Calibri"/>
          <w:i/>
          <w:sz w:val="18"/>
          <w:szCs w:val="18"/>
          <w:lang w:eastAsia="it-IT"/>
        </w:rPr>
      </w:pPr>
      <w:r>
        <w:rPr>
          <w:rFonts w:ascii="Titillium" w:hAnsi="Titillium" w:cs="Calibri"/>
          <w:sz w:val="18"/>
          <w:szCs w:val="18"/>
          <w:lang w:eastAsia="it-IT"/>
        </w:rPr>
        <w:t>L</w:t>
      </w:r>
      <w:r w:rsidR="00870286">
        <w:rPr>
          <w:rFonts w:ascii="Titillium" w:hAnsi="Titillium" w:cs="Calibri"/>
          <w:sz w:val="18"/>
          <w:szCs w:val="18"/>
          <w:lang w:eastAsia="it-IT"/>
        </w:rPr>
        <w:t>a valutazione dell’offerta tecnica e dell’offerta economica è effettuata in base ai seguenti punteggi</w:t>
      </w:r>
      <w:r w:rsidR="00F36C5F">
        <w:rPr>
          <w:rFonts w:ascii="Titillium" w:hAnsi="Titillium" w:cs="Calibri"/>
          <w:sz w:val="18"/>
          <w:szCs w:val="18"/>
          <w:lang w:eastAsia="it-IT"/>
        </w:rPr>
        <w:t>.</w:t>
      </w:r>
    </w:p>
    <w:p w14:paraId="40A52899" w14:textId="77777777" w:rsidR="00F36C5F" w:rsidRDefault="00F36C5F" w:rsidP="00F36C5F">
      <w:pPr>
        <w:spacing w:before="60" w:after="60"/>
        <w:jc w:val="center"/>
        <w:rPr>
          <w:rFonts w:ascii="Titillium" w:hAnsi="Titillium"/>
          <w:b/>
          <w:bCs/>
          <w:iCs/>
          <w:caps/>
          <w:sz w:val="18"/>
          <w:szCs w:val="18"/>
          <w:lang w:val="x-none"/>
        </w:rPr>
      </w:pPr>
    </w:p>
    <w:tbl>
      <w:tblPr>
        <w:tblW w:w="6521" w:type="dxa"/>
        <w:tblInd w:w="1271" w:type="dxa"/>
        <w:tblLook w:val="04A0" w:firstRow="1" w:lastRow="0" w:firstColumn="1" w:lastColumn="0" w:noHBand="0" w:noVBand="1"/>
      </w:tblPr>
      <w:tblGrid>
        <w:gridCol w:w="3227"/>
        <w:gridCol w:w="3294"/>
      </w:tblGrid>
      <w:tr w:rsidR="004C53A8" w14:paraId="2E3F6BA5" w14:textId="77777777" w:rsidTr="00647E94">
        <w:trPr>
          <w:trHeight w:val="347"/>
        </w:trPr>
        <w:tc>
          <w:tcPr>
            <w:tcW w:w="3227" w:type="dxa"/>
            <w:tcBorders>
              <w:top w:val="single" w:sz="4" w:space="0" w:color="000000"/>
              <w:left w:val="single" w:sz="4" w:space="0" w:color="000000"/>
              <w:bottom w:val="single" w:sz="4" w:space="0" w:color="000000"/>
              <w:right w:val="single" w:sz="4" w:space="0" w:color="000000"/>
            </w:tcBorders>
            <w:shd w:val="clear" w:color="auto" w:fill="D9D9D9"/>
          </w:tcPr>
          <w:p w14:paraId="2CC5E4DE" w14:textId="1468F744" w:rsidR="004C53A8" w:rsidRPr="00F36C5F" w:rsidRDefault="004C53A8" w:rsidP="00F36C5F">
            <w:pPr>
              <w:spacing w:before="60" w:after="60"/>
              <w:jc w:val="center"/>
              <w:rPr>
                <w:rFonts w:ascii="Titillium" w:hAnsi="Titillium" w:cs="Calibri"/>
                <w:b/>
                <w:sz w:val="22"/>
                <w:lang w:eastAsia="it-IT"/>
              </w:rPr>
            </w:pPr>
          </w:p>
        </w:tc>
        <w:tc>
          <w:tcPr>
            <w:tcW w:w="3294" w:type="dxa"/>
            <w:tcBorders>
              <w:top w:val="single" w:sz="4" w:space="0" w:color="000000"/>
              <w:left w:val="single" w:sz="4" w:space="0" w:color="000000"/>
              <w:bottom w:val="single" w:sz="4" w:space="0" w:color="000000"/>
              <w:right w:val="single" w:sz="4" w:space="0" w:color="000000"/>
            </w:tcBorders>
            <w:shd w:val="clear" w:color="auto" w:fill="D9D9D9"/>
          </w:tcPr>
          <w:p w14:paraId="3EE9E693" w14:textId="77777777" w:rsidR="004C53A8" w:rsidRDefault="00870286">
            <w:pPr>
              <w:spacing w:before="60" w:after="60"/>
              <w:jc w:val="center"/>
              <w:rPr>
                <w:rFonts w:ascii="Titillium" w:hAnsi="Titillium" w:cs="Calibri"/>
                <w:b/>
                <w:sz w:val="18"/>
                <w:szCs w:val="18"/>
                <w:lang w:eastAsia="it-IT"/>
              </w:rPr>
            </w:pPr>
            <w:r>
              <w:rPr>
                <w:rFonts w:ascii="Titillium" w:hAnsi="Titillium" w:cs="Calibri"/>
                <w:b/>
                <w:sz w:val="18"/>
                <w:szCs w:val="18"/>
                <w:lang w:eastAsia="it-IT"/>
              </w:rPr>
              <w:t>PUNTEGGIO MASSIMO</w:t>
            </w:r>
          </w:p>
        </w:tc>
      </w:tr>
      <w:tr w:rsidR="004C53A8" w14:paraId="461DCE14" w14:textId="77777777" w:rsidTr="00647E94">
        <w:trPr>
          <w:trHeight w:val="197"/>
        </w:trPr>
        <w:tc>
          <w:tcPr>
            <w:tcW w:w="3227" w:type="dxa"/>
            <w:tcBorders>
              <w:top w:val="single" w:sz="4" w:space="0" w:color="000000"/>
              <w:left w:val="single" w:sz="4" w:space="0" w:color="000000"/>
              <w:bottom w:val="single" w:sz="4" w:space="0" w:color="000000"/>
              <w:right w:val="single" w:sz="4" w:space="0" w:color="000000"/>
            </w:tcBorders>
          </w:tcPr>
          <w:p w14:paraId="52117567" w14:textId="77777777" w:rsidR="004C53A8" w:rsidRPr="00F36C5F" w:rsidRDefault="00870286">
            <w:pPr>
              <w:spacing w:before="60" w:after="60"/>
              <w:jc w:val="center"/>
              <w:rPr>
                <w:rFonts w:ascii="Titillium" w:hAnsi="Titillium"/>
                <w:b/>
                <w:sz w:val="18"/>
                <w:szCs w:val="18"/>
                <w:lang w:eastAsia="it-IT"/>
              </w:rPr>
            </w:pPr>
            <w:r w:rsidRPr="00F36C5F">
              <w:rPr>
                <w:rFonts w:ascii="Titillium" w:hAnsi="Titillium"/>
                <w:b/>
                <w:sz w:val="18"/>
                <w:szCs w:val="18"/>
                <w:lang w:eastAsia="it-IT"/>
              </w:rPr>
              <w:t>Offerta tecnica</w:t>
            </w:r>
          </w:p>
        </w:tc>
        <w:tc>
          <w:tcPr>
            <w:tcW w:w="3294" w:type="dxa"/>
            <w:tcBorders>
              <w:top w:val="single" w:sz="4" w:space="0" w:color="000000"/>
              <w:left w:val="single" w:sz="4" w:space="0" w:color="000000"/>
              <w:bottom w:val="single" w:sz="4" w:space="0" w:color="000000"/>
              <w:right w:val="single" w:sz="4" w:space="0" w:color="000000"/>
            </w:tcBorders>
          </w:tcPr>
          <w:p w14:paraId="02D1CFCE" w14:textId="2857672E" w:rsidR="004C53A8" w:rsidRPr="00F36C5F" w:rsidRDefault="0074670F">
            <w:pPr>
              <w:spacing w:before="60" w:after="60"/>
              <w:jc w:val="center"/>
              <w:rPr>
                <w:rFonts w:ascii="Titillium" w:hAnsi="Titillium"/>
                <w:b/>
                <w:sz w:val="18"/>
                <w:szCs w:val="18"/>
                <w:lang w:eastAsia="it-IT"/>
              </w:rPr>
            </w:pPr>
            <w:r>
              <w:rPr>
                <w:rFonts w:ascii="Titillium" w:hAnsi="Titillium"/>
                <w:b/>
                <w:sz w:val="18"/>
                <w:szCs w:val="18"/>
                <w:lang w:eastAsia="it-IT"/>
              </w:rPr>
              <w:t>8</w:t>
            </w:r>
            <w:r w:rsidR="007D72D4">
              <w:rPr>
                <w:rFonts w:ascii="Titillium" w:hAnsi="Titillium"/>
                <w:b/>
                <w:sz w:val="18"/>
                <w:szCs w:val="18"/>
                <w:lang w:eastAsia="it-IT"/>
              </w:rPr>
              <w:t>0</w:t>
            </w:r>
          </w:p>
        </w:tc>
      </w:tr>
      <w:tr w:rsidR="004C53A8" w14:paraId="5D2BB62F" w14:textId="77777777" w:rsidTr="00647E94">
        <w:trPr>
          <w:trHeight w:val="373"/>
        </w:trPr>
        <w:tc>
          <w:tcPr>
            <w:tcW w:w="3227" w:type="dxa"/>
            <w:tcBorders>
              <w:top w:val="single" w:sz="4" w:space="0" w:color="000000"/>
              <w:left w:val="single" w:sz="4" w:space="0" w:color="000000"/>
              <w:bottom w:val="single" w:sz="4" w:space="0" w:color="000000"/>
              <w:right w:val="single" w:sz="4" w:space="0" w:color="000000"/>
            </w:tcBorders>
          </w:tcPr>
          <w:p w14:paraId="0077B09C" w14:textId="77777777" w:rsidR="004C53A8" w:rsidRPr="00F36C5F" w:rsidRDefault="00870286">
            <w:pPr>
              <w:spacing w:before="60" w:after="60"/>
              <w:jc w:val="center"/>
              <w:rPr>
                <w:rFonts w:ascii="Titillium" w:hAnsi="Titillium"/>
                <w:b/>
                <w:sz w:val="18"/>
                <w:szCs w:val="18"/>
                <w:lang w:eastAsia="it-IT"/>
              </w:rPr>
            </w:pPr>
            <w:r w:rsidRPr="00F36C5F">
              <w:rPr>
                <w:rFonts w:ascii="Titillium" w:hAnsi="Titillium"/>
                <w:b/>
                <w:sz w:val="18"/>
                <w:szCs w:val="18"/>
                <w:lang w:eastAsia="it-IT"/>
              </w:rPr>
              <w:t>Offerta economica</w:t>
            </w:r>
          </w:p>
        </w:tc>
        <w:tc>
          <w:tcPr>
            <w:tcW w:w="3294" w:type="dxa"/>
            <w:tcBorders>
              <w:top w:val="single" w:sz="4" w:space="0" w:color="000000"/>
              <w:left w:val="single" w:sz="4" w:space="0" w:color="000000"/>
              <w:bottom w:val="single" w:sz="4" w:space="0" w:color="000000"/>
              <w:right w:val="single" w:sz="4" w:space="0" w:color="000000"/>
            </w:tcBorders>
          </w:tcPr>
          <w:p w14:paraId="0ABF04E7" w14:textId="41104116" w:rsidR="004C53A8" w:rsidRPr="00F36C5F" w:rsidRDefault="007D72D4">
            <w:pPr>
              <w:spacing w:before="60" w:after="60"/>
              <w:jc w:val="center"/>
              <w:rPr>
                <w:rFonts w:ascii="Titillium" w:hAnsi="Titillium"/>
                <w:b/>
                <w:sz w:val="18"/>
                <w:szCs w:val="18"/>
                <w:lang w:eastAsia="it-IT"/>
              </w:rPr>
            </w:pPr>
            <w:r>
              <w:rPr>
                <w:rFonts w:ascii="Titillium" w:hAnsi="Titillium"/>
                <w:b/>
                <w:sz w:val="18"/>
                <w:szCs w:val="18"/>
                <w:lang w:eastAsia="it-IT"/>
              </w:rPr>
              <w:t>20</w:t>
            </w:r>
          </w:p>
        </w:tc>
      </w:tr>
      <w:tr w:rsidR="004C53A8" w14:paraId="4A3453B7" w14:textId="77777777" w:rsidTr="00F36C5F">
        <w:tc>
          <w:tcPr>
            <w:tcW w:w="3227" w:type="dxa"/>
            <w:tcBorders>
              <w:top w:val="single" w:sz="4" w:space="0" w:color="000000"/>
              <w:left w:val="single" w:sz="4" w:space="0" w:color="000000"/>
              <w:bottom w:val="single" w:sz="4" w:space="0" w:color="000000"/>
              <w:right w:val="single" w:sz="4" w:space="0" w:color="000000"/>
            </w:tcBorders>
            <w:shd w:val="clear" w:color="auto" w:fill="D9D9D9"/>
          </w:tcPr>
          <w:p w14:paraId="70F90B1D" w14:textId="77777777" w:rsidR="004C53A8" w:rsidRPr="00F36C5F" w:rsidRDefault="00870286">
            <w:pPr>
              <w:spacing w:before="60" w:after="60"/>
              <w:jc w:val="center"/>
              <w:rPr>
                <w:rFonts w:ascii="Titillium" w:hAnsi="Titillium" w:cs="Calibri"/>
                <w:b/>
                <w:sz w:val="18"/>
                <w:szCs w:val="18"/>
                <w:lang w:eastAsia="it-IT"/>
              </w:rPr>
            </w:pPr>
            <w:r w:rsidRPr="00F36C5F">
              <w:rPr>
                <w:rFonts w:ascii="Titillium" w:hAnsi="Titillium" w:cs="Calibri"/>
                <w:b/>
                <w:sz w:val="18"/>
                <w:szCs w:val="18"/>
                <w:lang w:eastAsia="it-IT"/>
              </w:rPr>
              <w:t>TOTALE</w:t>
            </w:r>
          </w:p>
        </w:tc>
        <w:tc>
          <w:tcPr>
            <w:tcW w:w="3294" w:type="dxa"/>
            <w:tcBorders>
              <w:top w:val="single" w:sz="4" w:space="0" w:color="000000"/>
              <w:left w:val="single" w:sz="4" w:space="0" w:color="000000"/>
              <w:bottom w:val="single" w:sz="4" w:space="0" w:color="000000"/>
              <w:right w:val="single" w:sz="4" w:space="0" w:color="000000"/>
            </w:tcBorders>
            <w:shd w:val="clear" w:color="auto" w:fill="D9D9D9"/>
          </w:tcPr>
          <w:p w14:paraId="1D2C5E8F" w14:textId="77777777" w:rsidR="004C53A8" w:rsidRPr="00F36C5F" w:rsidRDefault="00870286">
            <w:pPr>
              <w:spacing w:before="60" w:after="60"/>
              <w:jc w:val="center"/>
              <w:rPr>
                <w:rFonts w:ascii="Titillium" w:hAnsi="Titillium" w:cs="Calibri"/>
                <w:b/>
                <w:sz w:val="18"/>
                <w:szCs w:val="18"/>
                <w:lang w:eastAsia="it-IT"/>
              </w:rPr>
            </w:pPr>
            <w:r w:rsidRPr="00F36C5F">
              <w:rPr>
                <w:rFonts w:ascii="Titillium" w:hAnsi="Titillium" w:cs="Calibri"/>
                <w:b/>
                <w:sz w:val="18"/>
                <w:szCs w:val="18"/>
                <w:lang w:eastAsia="it-IT"/>
              </w:rPr>
              <w:t>100</w:t>
            </w:r>
          </w:p>
        </w:tc>
      </w:tr>
    </w:tbl>
    <w:p w14:paraId="420AF086" w14:textId="18EA792D" w:rsidR="004C53A8" w:rsidRDefault="004C667D" w:rsidP="008300A5">
      <w:pPr>
        <w:pStyle w:val="Titolo3"/>
        <w:numPr>
          <w:ilvl w:val="1"/>
          <w:numId w:val="3"/>
        </w:numPr>
        <w:ind w:left="426" w:hanging="426"/>
      </w:pPr>
      <w:bookmarkStart w:id="1802" w:name="_Ref497226940"/>
      <w:bookmarkStart w:id="1803" w:name="_Ref497226908"/>
      <w:bookmarkStart w:id="1804" w:name="_Toc89270305"/>
      <w:r>
        <w:rPr>
          <w:rFonts w:ascii="Titillium" w:hAnsi="Titillium"/>
          <w:iCs/>
          <w:caps w:val="0"/>
          <w:sz w:val="18"/>
          <w:szCs w:val="18"/>
        </w:rPr>
        <w:t>CRITERI DI VALUTAZIONE DELL’OFFERTA TECNICA</w:t>
      </w:r>
      <w:bookmarkEnd w:id="1802"/>
      <w:bookmarkEnd w:id="1803"/>
      <w:bookmarkEnd w:id="1804"/>
    </w:p>
    <w:p w14:paraId="4F6CC08F" w14:textId="1A241D85" w:rsidR="00630F21" w:rsidRDefault="00630F21" w:rsidP="00630F21">
      <w:pPr>
        <w:spacing w:before="120" w:after="60"/>
        <w:rPr>
          <w:rFonts w:ascii="Titillium" w:hAnsi="Titillium" w:cs="Calibri"/>
          <w:sz w:val="18"/>
          <w:szCs w:val="18"/>
          <w:lang w:eastAsia="it-IT"/>
        </w:rPr>
      </w:pPr>
      <w:bookmarkStart w:id="1805" w:name="_Hlk104823666"/>
      <w:r w:rsidRPr="00AF481C">
        <w:rPr>
          <w:rFonts w:ascii="Titillium" w:hAnsi="Titillium" w:cs="Calibri"/>
          <w:sz w:val="18"/>
          <w:szCs w:val="18"/>
          <w:lang w:eastAsia="it-IT"/>
        </w:rPr>
        <w:t>Il punteggio dell’offerta tecnica è attribuito sulla base dei criteri di valutazione elencati nella sottostante tabella</w:t>
      </w:r>
      <w:r w:rsidRPr="00AF481C">
        <w:rPr>
          <w:rFonts w:ascii="Titillium" w:hAnsi="Titillium"/>
          <w:sz w:val="18"/>
          <w:szCs w:val="18"/>
        </w:rPr>
        <w:t xml:space="preserve"> con</w:t>
      </w:r>
      <w:r w:rsidRPr="00AF481C">
        <w:rPr>
          <w:rFonts w:ascii="Titillium" w:hAnsi="Titillium" w:cs="Calibri"/>
          <w:sz w:val="18"/>
          <w:szCs w:val="18"/>
          <w:lang w:eastAsia="it-IT"/>
        </w:rPr>
        <w:t xml:space="preserve"> la relativa ripartizione dei punteggi.</w:t>
      </w:r>
      <w:r>
        <w:rPr>
          <w:rFonts w:ascii="Titillium" w:hAnsi="Titillium" w:cs="Calibri"/>
          <w:sz w:val="18"/>
          <w:szCs w:val="18"/>
          <w:lang w:eastAsia="it-IT"/>
        </w:rPr>
        <w:t xml:space="preserve"> C</w:t>
      </w:r>
      <w:r w:rsidRPr="00AF481C">
        <w:rPr>
          <w:rFonts w:ascii="Titillium" w:hAnsi="Titillium" w:cs="Calibri"/>
          <w:sz w:val="18"/>
          <w:szCs w:val="18"/>
          <w:lang w:eastAsia="it-IT"/>
        </w:rPr>
        <w:t>on la lettera D vengono indicati i “Punteggi discrezionali”, vale a dire i punteggi il cui coefficiente è attribuito in ragione dell’esercizio della discrezionalità spettante alla commissione giudicatrice</w:t>
      </w:r>
      <w:r>
        <w:rPr>
          <w:rFonts w:ascii="Titillium" w:hAnsi="Titillium" w:cs="Calibri"/>
          <w:sz w:val="18"/>
          <w:szCs w:val="18"/>
          <w:lang w:eastAsia="it-IT"/>
        </w:rPr>
        <w:t xml:space="preserve">; con la </w:t>
      </w:r>
      <w:r w:rsidRPr="00AF481C">
        <w:rPr>
          <w:rFonts w:ascii="Titillium" w:hAnsi="Titillium" w:cs="Calibri"/>
          <w:sz w:val="18"/>
          <w:szCs w:val="18"/>
          <w:lang w:eastAsia="it-IT"/>
        </w:rPr>
        <w:t>lettera T vengono indicati i “Punteggi tabellari”, vale a dire i punteggi fissi e predefiniti che saranno attribuiti o non attribuiti in ragione dell’offerta o mancata offerta di quanto specificamente richiesto</w:t>
      </w:r>
      <w:r>
        <w:rPr>
          <w:rFonts w:ascii="Titillium" w:hAnsi="Titillium" w:cs="Calibri"/>
          <w:sz w:val="18"/>
          <w:szCs w:val="18"/>
          <w:lang w:eastAsia="it-IT"/>
        </w:rPr>
        <w:t>.</w:t>
      </w:r>
    </w:p>
    <w:p w14:paraId="6D84869D" w14:textId="734C4129" w:rsidR="00D50F01" w:rsidRDefault="00D50F01" w:rsidP="00D50F01">
      <w:pPr>
        <w:spacing w:before="120" w:after="60"/>
        <w:jc w:val="center"/>
        <w:rPr>
          <w:rFonts w:ascii="Titillium" w:hAnsi="Titillium" w:cs="Calibri"/>
          <w:b/>
          <w:i/>
          <w:sz w:val="22"/>
          <w:lang w:eastAsia="it-IT"/>
        </w:rPr>
      </w:pPr>
      <w:r w:rsidRPr="004456AE">
        <w:rPr>
          <w:rFonts w:ascii="Titillium" w:hAnsi="Titillium" w:cs="Calibri"/>
          <w:b/>
          <w:i/>
          <w:sz w:val="22"/>
          <w:lang w:eastAsia="it-IT"/>
        </w:rPr>
        <w:t>Tabella dei criteri discrezionali (D)</w:t>
      </w:r>
      <w:r w:rsidR="00901357">
        <w:rPr>
          <w:rFonts w:ascii="Titillium" w:hAnsi="Titillium" w:cs="Calibri"/>
          <w:b/>
          <w:i/>
          <w:sz w:val="22"/>
          <w:lang w:eastAsia="it-IT"/>
        </w:rPr>
        <w:t xml:space="preserve"> e </w:t>
      </w:r>
      <w:r w:rsidR="00901357" w:rsidRPr="004456AE">
        <w:rPr>
          <w:rFonts w:ascii="Titillium" w:hAnsi="Titillium" w:cs="Calibri"/>
          <w:b/>
          <w:i/>
          <w:sz w:val="22"/>
          <w:lang w:eastAsia="it-IT"/>
        </w:rPr>
        <w:t>tabellari</w:t>
      </w:r>
      <w:r w:rsidRPr="004456AE">
        <w:rPr>
          <w:rFonts w:ascii="Titillium" w:hAnsi="Titillium" w:cs="Calibri"/>
          <w:b/>
          <w:i/>
          <w:sz w:val="22"/>
          <w:lang w:eastAsia="it-IT"/>
        </w:rPr>
        <w:t xml:space="preserve"> (</w:t>
      </w:r>
      <w:r w:rsidR="00746DE2">
        <w:rPr>
          <w:rFonts w:ascii="Titillium" w:hAnsi="Titillium" w:cs="Calibri"/>
          <w:b/>
          <w:i/>
          <w:sz w:val="22"/>
          <w:lang w:eastAsia="it-IT"/>
        </w:rPr>
        <w:t>T</w:t>
      </w:r>
      <w:r w:rsidRPr="004456AE">
        <w:rPr>
          <w:rFonts w:ascii="Titillium" w:hAnsi="Titillium" w:cs="Calibri"/>
          <w:b/>
          <w:i/>
          <w:sz w:val="22"/>
          <w:lang w:eastAsia="it-IT"/>
        </w:rPr>
        <w:t>)</w:t>
      </w:r>
      <w:r w:rsidR="00A22824">
        <w:rPr>
          <w:rFonts w:ascii="Titillium" w:hAnsi="Titillium" w:cs="Calibri"/>
          <w:b/>
          <w:i/>
          <w:sz w:val="22"/>
          <w:lang w:eastAsia="it-IT"/>
        </w:rPr>
        <w:t xml:space="preserve"> </w:t>
      </w:r>
      <w:r w:rsidRPr="004456AE">
        <w:rPr>
          <w:rFonts w:ascii="Titillium" w:hAnsi="Titillium" w:cs="Calibri"/>
          <w:b/>
          <w:i/>
          <w:sz w:val="22"/>
          <w:lang w:eastAsia="it-IT"/>
        </w:rPr>
        <w:t>di valutazione dell’offerta tecnica</w:t>
      </w:r>
      <w:r w:rsidR="00060C9D">
        <w:rPr>
          <w:rFonts w:ascii="Titillium" w:hAnsi="Titillium" w:cs="Calibri"/>
          <w:b/>
          <w:i/>
          <w:sz w:val="22"/>
          <w:lang w:eastAsia="it-IT"/>
        </w:rPr>
        <w:t xml:space="preserve"> </w:t>
      </w:r>
    </w:p>
    <w:tbl>
      <w:tblPr>
        <w:tblStyle w:val="TableGrid"/>
        <w:tblW w:w="10024" w:type="dxa"/>
        <w:jc w:val="center"/>
        <w:tblInd w:w="0" w:type="dxa"/>
        <w:tblCellMar>
          <w:top w:w="7" w:type="dxa"/>
          <w:left w:w="106" w:type="dxa"/>
        </w:tblCellMar>
        <w:tblLook w:val="04A0" w:firstRow="1" w:lastRow="0" w:firstColumn="1" w:lastColumn="0" w:noHBand="0" w:noVBand="1"/>
      </w:tblPr>
      <w:tblGrid>
        <w:gridCol w:w="533"/>
        <w:gridCol w:w="7512"/>
        <w:gridCol w:w="1979"/>
      </w:tblGrid>
      <w:tr w:rsidR="009202F8" w:rsidRPr="005849BB" w14:paraId="20536DBE" w14:textId="77777777" w:rsidTr="003F7D78">
        <w:trPr>
          <w:trHeight w:val="844"/>
          <w:jc w:val="center"/>
        </w:trPr>
        <w:tc>
          <w:tcPr>
            <w:tcW w:w="8045" w:type="dxa"/>
            <w:gridSpan w:val="2"/>
            <w:tcBorders>
              <w:top w:val="single" w:sz="4" w:space="0" w:color="000000"/>
              <w:left w:val="single" w:sz="4" w:space="0" w:color="000000"/>
              <w:bottom w:val="single" w:sz="4" w:space="0" w:color="000000"/>
              <w:right w:val="single" w:sz="4" w:space="0" w:color="000000"/>
            </w:tcBorders>
            <w:shd w:val="clear" w:color="auto" w:fill="B6DDE8"/>
            <w:vAlign w:val="center"/>
          </w:tcPr>
          <w:p w14:paraId="768B6198" w14:textId="77777777" w:rsidR="009202F8" w:rsidRPr="005849BB" w:rsidRDefault="009202F8" w:rsidP="000300E2">
            <w:pPr>
              <w:spacing w:line="259" w:lineRule="auto"/>
              <w:jc w:val="center"/>
              <w:rPr>
                <w:rFonts w:ascii="Titillium Web" w:hAnsi="Titillium Web" w:cstheme="minorHAnsi"/>
                <w:sz w:val="18"/>
                <w:szCs w:val="18"/>
              </w:rPr>
            </w:pPr>
            <w:r w:rsidRPr="005849BB">
              <w:rPr>
                <w:rFonts w:ascii="Titillium Web" w:hAnsi="Titillium Web" w:cstheme="minorHAnsi"/>
                <w:sz w:val="18"/>
                <w:szCs w:val="18"/>
              </w:rPr>
              <w:t>Criteri Offerta tecnica</w:t>
            </w:r>
          </w:p>
        </w:tc>
        <w:tc>
          <w:tcPr>
            <w:tcW w:w="1979" w:type="dxa"/>
            <w:tcBorders>
              <w:top w:val="single" w:sz="4" w:space="0" w:color="000000"/>
              <w:left w:val="single" w:sz="4" w:space="0" w:color="000000"/>
              <w:bottom w:val="single" w:sz="4" w:space="0" w:color="000000"/>
              <w:right w:val="single" w:sz="4" w:space="0" w:color="000000"/>
            </w:tcBorders>
            <w:shd w:val="clear" w:color="auto" w:fill="B6DDE8"/>
            <w:vAlign w:val="center"/>
          </w:tcPr>
          <w:p w14:paraId="5C2C089E" w14:textId="77777777" w:rsidR="009202F8" w:rsidRPr="005849BB" w:rsidRDefault="009202F8" w:rsidP="000300E2">
            <w:pPr>
              <w:spacing w:line="259" w:lineRule="auto"/>
              <w:ind w:left="2"/>
              <w:jc w:val="center"/>
              <w:rPr>
                <w:rFonts w:ascii="Titillium Web" w:hAnsi="Titillium Web" w:cstheme="minorHAnsi"/>
                <w:sz w:val="18"/>
                <w:szCs w:val="18"/>
              </w:rPr>
            </w:pPr>
            <w:r w:rsidRPr="005849BB">
              <w:rPr>
                <w:rFonts w:ascii="Titillium Web" w:hAnsi="Titillium Web" w:cstheme="minorHAnsi"/>
                <w:sz w:val="18"/>
                <w:szCs w:val="18"/>
              </w:rPr>
              <w:t>Punteggio Massimo</w:t>
            </w:r>
          </w:p>
        </w:tc>
      </w:tr>
      <w:tr w:rsidR="009202F8" w:rsidRPr="005849BB" w14:paraId="4FC2D71E" w14:textId="77777777" w:rsidTr="003F7D78">
        <w:trPr>
          <w:trHeight w:val="1000"/>
          <w:jc w:val="center"/>
        </w:trPr>
        <w:tc>
          <w:tcPr>
            <w:tcW w:w="533" w:type="dxa"/>
            <w:tcBorders>
              <w:top w:val="single" w:sz="4" w:space="0" w:color="000000"/>
              <w:left w:val="single" w:sz="4" w:space="0" w:color="000000"/>
              <w:bottom w:val="single" w:sz="4" w:space="0" w:color="000000"/>
              <w:right w:val="single" w:sz="4" w:space="0" w:color="000000"/>
            </w:tcBorders>
            <w:shd w:val="clear" w:color="auto" w:fill="CBD3DE" w:themeFill="text2" w:themeFillTint="40"/>
          </w:tcPr>
          <w:p w14:paraId="3BA5CB6B" w14:textId="77777777" w:rsidR="009202F8" w:rsidRPr="005849BB" w:rsidRDefault="009202F8" w:rsidP="000300E2">
            <w:pPr>
              <w:spacing w:line="259" w:lineRule="auto"/>
              <w:rPr>
                <w:rFonts w:ascii="Titillium Web" w:hAnsi="Titillium Web" w:cstheme="minorHAnsi"/>
                <w:sz w:val="18"/>
                <w:szCs w:val="18"/>
              </w:rPr>
            </w:pPr>
            <w:r w:rsidRPr="005849BB">
              <w:rPr>
                <w:rFonts w:ascii="Titillium Web" w:hAnsi="Titillium Web" w:cstheme="minorHAnsi"/>
                <w:sz w:val="18"/>
                <w:szCs w:val="18"/>
              </w:rPr>
              <w:t xml:space="preserve">A </w:t>
            </w:r>
          </w:p>
        </w:tc>
        <w:tc>
          <w:tcPr>
            <w:tcW w:w="7512" w:type="dxa"/>
            <w:tcBorders>
              <w:top w:val="single" w:sz="4" w:space="0" w:color="000000"/>
              <w:left w:val="single" w:sz="4" w:space="0" w:color="000000"/>
              <w:bottom w:val="single" w:sz="4" w:space="0" w:color="000000"/>
              <w:right w:val="single" w:sz="4" w:space="0" w:color="000000"/>
            </w:tcBorders>
            <w:shd w:val="clear" w:color="auto" w:fill="CBD3DE" w:themeFill="text2" w:themeFillTint="40"/>
          </w:tcPr>
          <w:p w14:paraId="6279A6F4" w14:textId="6DFC933E" w:rsidR="009202F8" w:rsidRPr="005849BB" w:rsidRDefault="009202F8" w:rsidP="000300E2">
            <w:pPr>
              <w:spacing w:line="259" w:lineRule="auto"/>
              <w:ind w:left="2" w:right="108"/>
              <w:rPr>
                <w:rFonts w:ascii="Titillium Web" w:hAnsi="Titillium Web" w:cstheme="minorHAnsi"/>
                <w:sz w:val="18"/>
                <w:szCs w:val="18"/>
              </w:rPr>
            </w:pPr>
            <w:r w:rsidRPr="005849BB">
              <w:rPr>
                <w:rFonts w:ascii="Titillium Web" w:hAnsi="Titillium Web" w:cstheme="minorHAnsi"/>
                <w:sz w:val="18"/>
                <w:szCs w:val="18"/>
              </w:rPr>
              <w:t xml:space="preserve">Progetto di gestione delle attività attraverso l’organizzazione di manifestazioni sportive di interesse provinciale, regionale o nazionale, valorizzazione dell’impianto, declinato in base ai successivi </w:t>
            </w:r>
            <w:r w:rsidR="00D51C36" w:rsidRPr="005849BB">
              <w:rPr>
                <w:rFonts w:ascii="Titillium Web" w:hAnsi="Titillium Web" w:cstheme="minorHAnsi"/>
                <w:sz w:val="18"/>
                <w:szCs w:val="18"/>
              </w:rPr>
              <w:t>sotto criteri</w:t>
            </w:r>
            <w:r w:rsidRPr="005849BB">
              <w:rPr>
                <w:rFonts w:ascii="Titillium Web" w:hAnsi="Titillium Web" w:cstheme="minorHAnsi"/>
                <w:sz w:val="18"/>
                <w:szCs w:val="18"/>
              </w:rPr>
              <w:t>:</w:t>
            </w:r>
            <w:r w:rsidRPr="005849BB">
              <w:rPr>
                <w:rFonts w:ascii="Titillium Web" w:hAnsi="Titillium Web" w:cstheme="minorHAnsi"/>
                <w:color w:val="FF0000"/>
                <w:sz w:val="18"/>
                <w:szCs w:val="18"/>
              </w:rPr>
              <w:t xml:space="preserve"> </w:t>
            </w:r>
            <w:r w:rsidRPr="005849BB">
              <w:rPr>
                <w:rFonts w:ascii="Titillium Web" w:hAnsi="Titillium Web" w:cstheme="minorHAnsi"/>
                <w:sz w:val="18"/>
                <w:szCs w:val="18"/>
              </w:rPr>
              <w:t xml:space="preserve"> </w:t>
            </w:r>
          </w:p>
        </w:tc>
        <w:tc>
          <w:tcPr>
            <w:tcW w:w="1979" w:type="dxa"/>
            <w:tcBorders>
              <w:top w:val="single" w:sz="4" w:space="0" w:color="000000"/>
              <w:left w:val="single" w:sz="4" w:space="0" w:color="000000"/>
              <w:bottom w:val="single" w:sz="4" w:space="0" w:color="000000"/>
              <w:right w:val="single" w:sz="4" w:space="0" w:color="000000"/>
            </w:tcBorders>
            <w:shd w:val="clear" w:color="auto" w:fill="CBD3DE" w:themeFill="text2" w:themeFillTint="40"/>
            <w:vAlign w:val="center"/>
          </w:tcPr>
          <w:p w14:paraId="7006CBBC" w14:textId="77777777" w:rsidR="009202F8" w:rsidRPr="005849BB" w:rsidRDefault="009202F8" w:rsidP="000300E2">
            <w:pPr>
              <w:spacing w:line="259" w:lineRule="auto"/>
              <w:ind w:left="2"/>
              <w:jc w:val="center"/>
              <w:rPr>
                <w:rFonts w:ascii="Titillium Web" w:hAnsi="Titillium Web" w:cstheme="minorHAnsi"/>
                <w:sz w:val="18"/>
                <w:szCs w:val="18"/>
              </w:rPr>
            </w:pPr>
            <w:r>
              <w:rPr>
                <w:rFonts w:ascii="Titillium Web" w:hAnsi="Titillium Web" w:cstheme="minorHAnsi"/>
                <w:sz w:val="18"/>
                <w:szCs w:val="18"/>
              </w:rPr>
              <w:t>25</w:t>
            </w:r>
            <w:r w:rsidRPr="005849BB">
              <w:rPr>
                <w:rFonts w:ascii="Titillium Web" w:hAnsi="Titillium Web" w:cstheme="minorHAnsi"/>
                <w:sz w:val="18"/>
                <w:szCs w:val="18"/>
              </w:rPr>
              <w:t xml:space="preserve"> punti</w:t>
            </w:r>
          </w:p>
        </w:tc>
      </w:tr>
      <w:tr w:rsidR="009202F8" w:rsidRPr="005849BB" w14:paraId="192369EA" w14:textId="77777777" w:rsidTr="003F7D78">
        <w:trPr>
          <w:trHeight w:val="846"/>
          <w:jc w:val="center"/>
        </w:trPr>
        <w:tc>
          <w:tcPr>
            <w:tcW w:w="533" w:type="dxa"/>
            <w:tcBorders>
              <w:top w:val="single" w:sz="4" w:space="0" w:color="000000"/>
              <w:left w:val="single" w:sz="4" w:space="0" w:color="000000"/>
              <w:bottom w:val="single" w:sz="4" w:space="0" w:color="000000"/>
              <w:right w:val="single" w:sz="4" w:space="0" w:color="000000"/>
            </w:tcBorders>
          </w:tcPr>
          <w:p w14:paraId="00C3826D" w14:textId="77777777" w:rsidR="009202F8" w:rsidRPr="005849BB" w:rsidRDefault="009202F8" w:rsidP="000300E2">
            <w:pPr>
              <w:spacing w:line="259" w:lineRule="auto"/>
              <w:rPr>
                <w:rFonts w:ascii="Titillium Web" w:hAnsi="Titillium Web" w:cstheme="minorHAnsi"/>
                <w:sz w:val="18"/>
                <w:szCs w:val="18"/>
              </w:rPr>
            </w:pPr>
            <w:r w:rsidRPr="005849BB">
              <w:rPr>
                <w:rFonts w:ascii="Titillium Web" w:hAnsi="Titillium Web" w:cstheme="minorHAnsi"/>
                <w:sz w:val="18"/>
                <w:szCs w:val="18"/>
              </w:rPr>
              <w:t xml:space="preserve">A1 </w:t>
            </w:r>
          </w:p>
        </w:tc>
        <w:tc>
          <w:tcPr>
            <w:tcW w:w="7512" w:type="dxa"/>
            <w:tcBorders>
              <w:top w:val="single" w:sz="4" w:space="0" w:color="000000"/>
              <w:left w:val="single" w:sz="4" w:space="0" w:color="000000"/>
              <w:bottom w:val="single" w:sz="4" w:space="0" w:color="000000"/>
              <w:right w:val="single" w:sz="4" w:space="0" w:color="000000"/>
            </w:tcBorders>
          </w:tcPr>
          <w:p w14:paraId="676F51FB" w14:textId="77777777" w:rsidR="009202F8" w:rsidRDefault="009202F8" w:rsidP="000300E2">
            <w:pPr>
              <w:spacing w:line="259" w:lineRule="auto"/>
              <w:ind w:left="2"/>
              <w:rPr>
                <w:rFonts w:ascii="Titillium Web" w:hAnsi="Titillium Web" w:cstheme="minorHAnsi"/>
                <w:sz w:val="18"/>
                <w:szCs w:val="18"/>
              </w:rPr>
            </w:pPr>
            <w:r w:rsidRPr="005849BB">
              <w:rPr>
                <w:rFonts w:ascii="Titillium Web" w:hAnsi="Titillium Web" w:cstheme="minorHAnsi"/>
                <w:sz w:val="18"/>
                <w:szCs w:val="18"/>
              </w:rPr>
              <w:t xml:space="preserve">Progetto sportivo che si intende realizzare </w:t>
            </w:r>
            <w:r>
              <w:rPr>
                <w:rFonts w:ascii="Titillium Web" w:hAnsi="Titillium Web" w:cstheme="minorHAnsi"/>
                <w:sz w:val="18"/>
                <w:szCs w:val="18"/>
              </w:rPr>
              <w:t>in c</w:t>
            </w:r>
            <w:r w:rsidRPr="004C2746">
              <w:rPr>
                <w:rFonts w:ascii="Titillium Web" w:hAnsi="Titillium Web" w:cstheme="minorHAnsi"/>
                <w:sz w:val="18"/>
                <w:szCs w:val="18"/>
              </w:rPr>
              <w:t>ollaborazioni con scuole, terzo settore e integrazione territoriale</w:t>
            </w:r>
            <w:r>
              <w:rPr>
                <w:rFonts w:ascii="Titillium Web" w:hAnsi="Titillium Web" w:cstheme="minorHAnsi"/>
                <w:sz w:val="18"/>
                <w:szCs w:val="18"/>
              </w:rPr>
              <w:t>.</w:t>
            </w:r>
          </w:p>
          <w:p w14:paraId="34A907D7" w14:textId="77777777" w:rsidR="009202F8" w:rsidRPr="005849BB" w:rsidRDefault="009202F8" w:rsidP="000300E2">
            <w:pPr>
              <w:spacing w:line="259" w:lineRule="auto"/>
              <w:rPr>
                <w:rFonts w:ascii="Titillium Web" w:hAnsi="Titillium Web" w:cstheme="minorHAnsi"/>
                <w:sz w:val="18"/>
                <w:szCs w:val="18"/>
              </w:rPr>
            </w:pPr>
            <w:r w:rsidRPr="005849BB">
              <w:rPr>
                <w:rFonts w:ascii="Titillium Web" w:hAnsi="Titillium Web" w:cstheme="minorHAnsi"/>
                <w:sz w:val="18"/>
                <w:szCs w:val="18"/>
              </w:rPr>
              <w:t xml:space="preserve"> Il punteggio verrà attribuito tenuto conto dell’ampiezza, qualità e fattibilità dell’offerta del concorrente, nonché della capacità di coinvolgere tutte le fasce d’età (bambini, ragazzi, adulti</w:t>
            </w:r>
            <w:r>
              <w:rPr>
                <w:rFonts w:ascii="Titillium Web" w:hAnsi="Titillium Web" w:cstheme="minorHAnsi"/>
                <w:sz w:val="18"/>
                <w:szCs w:val="18"/>
              </w:rPr>
              <w:t>)</w:t>
            </w:r>
            <w:r w:rsidRPr="005849BB">
              <w:rPr>
                <w:rFonts w:ascii="Titillium Web" w:hAnsi="Titillium Web" w:cstheme="minorHAnsi"/>
                <w:sz w:val="18"/>
                <w:szCs w:val="18"/>
              </w:rPr>
              <w:t>.</w:t>
            </w:r>
          </w:p>
        </w:tc>
        <w:tc>
          <w:tcPr>
            <w:tcW w:w="1979" w:type="dxa"/>
            <w:tcBorders>
              <w:top w:val="single" w:sz="4" w:space="0" w:color="000000"/>
              <w:left w:val="single" w:sz="4" w:space="0" w:color="000000"/>
              <w:bottom w:val="single" w:sz="4" w:space="0" w:color="000000"/>
              <w:right w:val="single" w:sz="4" w:space="0" w:color="000000"/>
            </w:tcBorders>
            <w:vAlign w:val="center"/>
          </w:tcPr>
          <w:p w14:paraId="539E997F" w14:textId="77777777" w:rsidR="009202F8" w:rsidRDefault="009202F8" w:rsidP="000300E2">
            <w:pPr>
              <w:spacing w:line="259" w:lineRule="auto"/>
              <w:ind w:left="2"/>
              <w:jc w:val="center"/>
              <w:rPr>
                <w:rFonts w:ascii="Titillium Web" w:hAnsi="Titillium Web" w:cstheme="minorHAnsi"/>
                <w:sz w:val="18"/>
                <w:szCs w:val="18"/>
              </w:rPr>
            </w:pPr>
            <w:r>
              <w:rPr>
                <w:rFonts w:ascii="Titillium Web" w:hAnsi="Titillium Web" w:cstheme="minorHAnsi"/>
                <w:sz w:val="18"/>
                <w:szCs w:val="18"/>
              </w:rPr>
              <w:t>10</w:t>
            </w:r>
            <w:r w:rsidRPr="005849BB">
              <w:rPr>
                <w:rFonts w:ascii="Titillium Web" w:hAnsi="Titillium Web" w:cstheme="minorHAnsi"/>
                <w:sz w:val="18"/>
                <w:szCs w:val="18"/>
              </w:rPr>
              <w:t xml:space="preserve"> punti</w:t>
            </w:r>
          </w:p>
          <w:p w14:paraId="0673878A" w14:textId="77777777" w:rsidR="009202F8" w:rsidRPr="005849BB" w:rsidRDefault="009202F8" w:rsidP="000300E2">
            <w:pPr>
              <w:spacing w:line="259" w:lineRule="auto"/>
              <w:ind w:left="2"/>
              <w:jc w:val="center"/>
              <w:rPr>
                <w:rFonts w:ascii="Titillium Web" w:hAnsi="Titillium Web" w:cstheme="minorHAnsi"/>
                <w:sz w:val="18"/>
                <w:szCs w:val="18"/>
              </w:rPr>
            </w:pPr>
            <w:r>
              <w:rPr>
                <w:rFonts w:ascii="Titillium Web" w:hAnsi="Titillium Web" w:cstheme="minorHAnsi"/>
                <w:sz w:val="18"/>
                <w:szCs w:val="18"/>
              </w:rPr>
              <w:t>D</w:t>
            </w:r>
          </w:p>
        </w:tc>
      </w:tr>
      <w:tr w:rsidR="009202F8" w14:paraId="1ACBA037" w14:textId="77777777" w:rsidTr="003F7D78">
        <w:trPr>
          <w:trHeight w:val="1019"/>
          <w:jc w:val="center"/>
        </w:trPr>
        <w:tc>
          <w:tcPr>
            <w:tcW w:w="533" w:type="dxa"/>
            <w:tcBorders>
              <w:top w:val="single" w:sz="4" w:space="0" w:color="000000"/>
              <w:left w:val="single" w:sz="4" w:space="0" w:color="000000"/>
              <w:bottom w:val="single" w:sz="4" w:space="0" w:color="000000"/>
              <w:right w:val="single" w:sz="4" w:space="0" w:color="000000"/>
            </w:tcBorders>
          </w:tcPr>
          <w:p w14:paraId="7EA2F2FF" w14:textId="77777777" w:rsidR="009202F8" w:rsidRPr="005849BB" w:rsidRDefault="009202F8" w:rsidP="000300E2">
            <w:pPr>
              <w:spacing w:line="259" w:lineRule="auto"/>
              <w:rPr>
                <w:rFonts w:ascii="Titillium Web" w:hAnsi="Titillium Web" w:cstheme="minorHAnsi"/>
                <w:sz w:val="18"/>
                <w:szCs w:val="18"/>
              </w:rPr>
            </w:pPr>
            <w:r w:rsidRPr="005849BB">
              <w:rPr>
                <w:rFonts w:ascii="Titillium Web" w:hAnsi="Titillium Web" w:cstheme="minorHAnsi"/>
                <w:sz w:val="18"/>
                <w:szCs w:val="18"/>
              </w:rPr>
              <w:t>A</w:t>
            </w:r>
            <w:r>
              <w:rPr>
                <w:rFonts w:ascii="Titillium Web" w:hAnsi="Titillium Web" w:cstheme="minorHAnsi"/>
                <w:sz w:val="18"/>
                <w:szCs w:val="18"/>
              </w:rPr>
              <w:t>2</w:t>
            </w:r>
            <w:r w:rsidRPr="005849BB">
              <w:rPr>
                <w:rFonts w:ascii="Titillium Web" w:hAnsi="Titillium Web" w:cstheme="minorHAnsi"/>
                <w:sz w:val="18"/>
                <w:szCs w:val="18"/>
              </w:rPr>
              <w:t xml:space="preserve"> </w:t>
            </w:r>
          </w:p>
        </w:tc>
        <w:tc>
          <w:tcPr>
            <w:tcW w:w="7512" w:type="dxa"/>
            <w:tcBorders>
              <w:top w:val="single" w:sz="4" w:space="0" w:color="000000"/>
              <w:left w:val="single" w:sz="4" w:space="0" w:color="000000"/>
              <w:bottom w:val="single" w:sz="4" w:space="0" w:color="000000"/>
              <w:right w:val="single" w:sz="4" w:space="0" w:color="000000"/>
            </w:tcBorders>
          </w:tcPr>
          <w:p w14:paraId="4C511B4B" w14:textId="77777777" w:rsidR="009202F8" w:rsidRDefault="009202F8" w:rsidP="000300E2">
            <w:pPr>
              <w:spacing w:line="259" w:lineRule="auto"/>
              <w:ind w:left="2"/>
              <w:rPr>
                <w:rFonts w:ascii="Titillium Web" w:hAnsi="Titillium Web" w:cstheme="minorHAnsi"/>
                <w:sz w:val="18"/>
                <w:szCs w:val="18"/>
              </w:rPr>
            </w:pPr>
            <w:r>
              <w:rPr>
                <w:rFonts w:ascii="Titillium Web" w:hAnsi="Titillium Web" w:cstheme="minorHAnsi"/>
                <w:sz w:val="18"/>
                <w:szCs w:val="18"/>
              </w:rPr>
              <w:t>Progetto di s</w:t>
            </w:r>
            <w:r w:rsidRPr="00B93889">
              <w:rPr>
                <w:rFonts w:ascii="Titillium Web" w:hAnsi="Titillium Web" w:cstheme="minorHAnsi"/>
                <w:sz w:val="18"/>
                <w:szCs w:val="18"/>
              </w:rPr>
              <w:t xml:space="preserve">viluppo del calcio giovanile, della scuola calcio e del </w:t>
            </w:r>
            <w:r w:rsidRPr="00A4530F">
              <w:rPr>
                <w:rFonts w:ascii="Titillium Web" w:hAnsi="Titillium Web" w:cstheme="minorHAnsi"/>
                <w:sz w:val="18"/>
                <w:szCs w:val="18"/>
              </w:rPr>
              <w:t>movimento femminile.</w:t>
            </w:r>
          </w:p>
          <w:p w14:paraId="79D754A4" w14:textId="201BDC63" w:rsidR="009202F8" w:rsidRPr="005849BB" w:rsidRDefault="009202F8" w:rsidP="003F7D78">
            <w:pPr>
              <w:spacing w:after="218" w:line="259" w:lineRule="auto"/>
              <w:rPr>
                <w:rFonts w:ascii="Titillium Web" w:hAnsi="Titillium Web" w:cstheme="minorHAnsi"/>
                <w:sz w:val="18"/>
                <w:szCs w:val="18"/>
              </w:rPr>
            </w:pPr>
            <w:r w:rsidRPr="005849BB">
              <w:rPr>
                <w:rFonts w:ascii="Titillium Web" w:hAnsi="Titillium Web" w:cstheme="minorHAnsi"/>
                <w:sz w:val="18"/>
                <w:szCs w:val="18"/>
              </w:rPr>
              <w:t>Il punteggio verrà attribuito tenuto conto dell’ampiezza, qualità e fattibilità dell’offerta del concorrent</w:t>
            </w:r>
            <w:r>
              <w:rPr>
                <w:rFonts w:ascii="Titillium Web" w:hAnsi="Titillium Web" w:cstheme="minorHAnsi"/>
                <w:sz w:val="18"/>
                <w:szCs w:val="18"/>
              </w:rPr>
              <w:t>e</w:t>
            </w:r>
            <w:r w:rsidRPr="005849BB">
              <w:rPr>
                <w:rFonts w:ascii="Titillium Web" w:hAnsi="Titillium Web" w:cstheme="minorHAnsi"/>
                <w:sz w:val="18"/>
                <w:szCs w:val="18"/>
              </w:rPr>
              <w:t xml:space="preserve"> </w:t>
            </w:r>
            <w:r w:rsidRPr="0003503F">
              <w:rPr>
                <w:rFonts w:ascii="Titillium Web" w:hAnsi="Titillium Web" w:cstheme="minorHAnsi"/>
                <w:sz w:val="18"/>
                <w:szCs w:val="18"/>
              </w:rPr>
              <w:t xml:space="preserve">nonché della capacità </w:t>
            </w:r>
            <w:r>
              <w:rPr>
                <w:rFonts w:ascii="Titillium Web" w:hAnsi="Titillium Web" w:cstheme="minorHAnsi"/>
                <w:sz w:val="18"/>
                <w:szCs w:val="18"/>
              </w:rPr>
              <w:t>sviluppare le realtà sopra indicate</w:t>
            </w:r>
            <w:r w:rsidRPr="0003503F">
              <w:rPr>
                <w:rFonts w:ascii="Titillium Web" w:hAnsi="Titillium Web" w:cstheme="minorHAnsi"/>
                <w:sz w:val="18"/>
                <w:szCs w:val="18"/>
              </w:rPr>
              <w:t>).</w:t>
            </w:r>
          </w:p>
        </w:tc>
        <w:tc>
          <w:tcPr>
            <w:tcW w:w="1979" w:type="dxa"/>
            <w:tcBorders>
              <w:top w:val="single" w:sz="4" w:space="0" w:color="000000"/>
              <w:left w:val="single" w:sz="4" w:space="0" w:color="000000"/>
              <w:bottom w:val="single" w:sz="4" w:space="0" w:color="000000"/>
              <w:right w:val="single" w:sz="4" w:space="0" w:color="000000"/>
            </w:tcBorders>
            <w:vAlign w:val="center"/>
          </w:tcPr>
          <w:p w14:paraId="54D712AF" w14:textId="77777777" w:rsidR="009202F8" w:rsidRDefault="009202F8" w:rsidP="000300E2">
            <w:pPr>
              <w:spacing w:line="259" w:lineRule="auto"/>
              <w:ind w:left="2"/>
              <w:jc w:val="center"/>
              <w:rPr>
                <w:rFonts w:ascii="Titillium Web" w:hAnsi="Titillium Web" w:cstheme="minorHAnsi"/>
                <w:sz w:val="18"/>
                <w:szCs w:val="18"/>
              </w:rPr>
            </w:pPr>
            <w:r>
              <w:rPr>
                <w:rFonts w:ascii="Titillium Web" w:hAnsi="Titillium Web" w:cstheme="minorHAnsi"/>
                <w:sz w:val="18"/>
                <w:szCs w:val="18"/>
              </w:rPr>
              <w:t>10</w:t>
            </w:r>
            <w:r w:rsidRPr="005849BB">
              <w:rPr>
                <w:rFonts w:ascii="Titillium Web" w:hAnsi="Titillium Web" w:cstheme="minorHAnsi"/>
                <w:sz w:val="18"/>
                <w:szCs w:val="18"/>
              </w:rPr>
              <w:t xml:space="preserve"> punti</w:t>
            </w:r>
          </w:p>
          <w:p w14:paraId="59F4AE32" w14:textId="77777777" w:rsidR="009202F8" w:rsidRDefault="009202F8" w:rsidP="000300E2">
            <w:pPr>
              <w:spacing w:line="259" w:lineRule="auto"/>
              <w:ind w:left="2"/>
              <w:jc w:val="center"/>
              <w:rPr>
                <w:rFonts w:ascii="Titillium Web" w:hAnsi="Titillium Web" w:cstheme="minorHAnsi"/>
                <w:sz w:val="18"/>
                <w:szCs w:val="18"/>
              </w:rPr>
            </w:pPr>
            <w:r>
              <w:rPr>
                <w:rFonts w:ascii="Titillium Web" w:hAnsi="Titillium Web" w:cstheme="minorHAnsi"/>
                <w:sz w:val="18"/>
                <w:szCs w:val="18"/>
              </w:rPr>
              <w:t>D</w:t>
            </w:r>
          </w:p>
        </w:tc>
      </w:tr>
      <w:tr w:rsidR="009202F8" w:rsidRPr="005849BB" w14:paraId="144C1BE1" w14:textId="77777777" w:rsidTr="003F7D78">
        <w:trPr>
          <w:trHeight w:val="1320"/>
          <w:jc w:val="center"/>
        </w:trPr>
        <w:tc>
          <w:tcPr>
            <w:tcW w:w="533" w:type="dxa"/>
            <w:tcBorders>
              <w:top w:val="single" w:sz="4" w:space="0" w:color="000000"/>
              <w:left w:val="single" w:sz="4" w:space="0" w:color="000000"/>
              <w:bottom w:val="single" w:sz="4" w:space="0" w:color="000000"/>
              <w:right w:val="single" w:sz="4" w:space="0" w:color="000000"/>
            </w:tcBorders>
          </w:tcPr>
          <w:p w14:paraId="10CE0E9D" w14:textId="77777777" w:rsidR="009202F8" w:rsidRPr="005849BB" w:rsidRDefault="009202F8" w:rsidP="000300E2">
            <w:pPr>
              <w:spacing w:line="259" w:lineRule="auto"/>
              <w:rPr>
                <w:rFonts w:ascii="Titillium Web" w:hAnsi="Titillium Web" w:cstheme="minorHAnsi"/>
                <w:sz w:val="18"/>
                <w:szCs w:val="18"/>
              </w:rPr>
            </w:pPr>
            <w:r w:rsidRPr="005849BB">
              <w:rPr>
                <w:rFonts w:ascii="Titillium Web" w:hAnsi="Titillium Web" w:cstheme="minorHAnsi"/>
                <w:sz w:val="18"/>
                <w:szCs w:val="18"/>
              </w:rPr>
              <w:t>A</w:t>
            </w:r>
            <w:r>
              <w:rPr>
                <w:rFonts w:ascii="Titillium Web" w:hAnsi="Titillium Web" w:cstheme="minorHAnsi"/>
                <w:sz w:val="18"/>
                <w:szCs w:val="18"/>
              </w:rPr>
              <w:t>3</w:t>
            </w:r>
            <w:r w:rsidRPr="005849BB">
              <w:rPr>
                <w:rFonts w:ascii="Titillium Web" w:hAnsi="Titillium Web" w:cstheme="minorHAnsi"/>
                <w:sz w:val="18"/>
                <w:szCs w:val="18"/>
              </w:rPr>
              <w:t xml:space="preserve"> </w:t>
            </w:r>
          </w:p>
        </w:tc>
        <w:tc>
          <w:tcPr>
            <w:tcW w:w="7512" w:type="dxa"/>
            <w:tcBorders>
              <w:top w:val="single" w:sz="4" w:space="0" w:color="000000"/>
              <w:left w:val="single" w:sz="4" w:space="0" w:color="000000"/>
              <w:bottom w:val="single" w:sz="4" w:space="0" w:color="000000"/>
              <w:right w:val="single" w:sz="4" w:space="0" w:color="000000"/>
            </w:tcBorders>
          </w:tcPr>
          <w:p w14:paraId="4C134C17" w14:textId="77777777" w:rsidR="009202F8" w:rsidRDefault="009202F8" w:rsidP="000300E2">
            <w:pPr>
              <w:spacing w:after="218" w:line="259" w:lineRule="auto"/>
              <w:ind w:left="2"/>
              <w:rPr>
                <w:rFonts w:ascii="Titillium Web" w:hAnsi="Titillium Web" w:cstheme="minorHAnsi"/>
                <w:sz w:val="18"/>
                <w:szCs w:val="18"/>
              </w:rPr>
            </w:pPr>
            <w:r w:rsidRPr="005849BB">
              <w:rPr>
                <w:rFonts w:ascii="Titillium Web" w:hAnsi="Titillium Web" w:cstheme="minorHAnsi"/>
                <w:sz w:val="18"/>
                <w:szCs w:val="18"/>
              </w:rPr>
              <w:t xml:space="preserve">Progetto </w:t>
            </w:r>
            <w:r>
              <w:rPr>
                <w:rFonts w:ascii="Titillium Web" w:hAnsi="Titillium Web" w:cstheme="minorHAnsi"/>
                <w:sz w:val="18"/>
                <w:szCs w:val="18"/>
              </w:rPr>
              <w:t xml:space="preserve">sportivo </w:t>
            </w:r>
            <w:r w:rsidRPr="005849BB">
              <w:rPr>
                <w:rFonts w:ascii="Titillium Web" w:hAnsi="Titillium Web" w:cstheme="minorHAnsi"/>
                <w:sz w:val="18"/>
                <w:szCs w:val="18"/>
              </w:rPr>
              <w:t>di coinvolgimento persone diversamente abili</w:t>
            </w:r>
            <w:r>
              <w:rPr>
                <w:rFonts w:ascii="Titillium Web" w:hAnsi="Titillium Web" w:cstheme="minorHAnsi"/>
                <w:sz w:val="18"/>
                <w:szCs w:val="18"/>
              </w:rPr>
              <w:t xml:space="preserve"> tramite o</w:t>
            </w:r>
            <w:r w:rsidRPr="00602F37">
              <w:rPr>
                <w:rFonts w:ascii="Titillium Web" w:hAnsi="Titillium Web" w:cstheme="minorHAnsi"/>
                <w:sz w:val="18"/>
                <w:szCs w:val="18"/>
              </w:rPr>
              <w:t xml:space="preserve">rganizzazione di tornei solidali, eventi inclusivi e attività </w:t>
            </w:r>
            <w:r>
              <w:rPr>
                <w:rFonts w:ascii="Titillium Web" w:hAnsi="Titillium Web" w:cstheme="minorHAnsi"/>
                <w:sz w:val="18"/>
                <w:szCs w:val="18"/>
              </w:rPr>
              <w:t>che coinvolgano persone diversamente abili.</w:t>
            </w:r>
            <w:r w:rsidRPr="00602F37">
              <w:rPr>
                <w:rFonts w:ascii="Titillium Web" w:hAnsi="Titillium Web" w:cstheme="minorHAnsi"/>
                <w:sz w:val="18"/>
                <w:szCs w:val="18"/>
              </w:rPr>
              <w:t xml:space="preserve"> </w:t>
            </w:r>
          </w:p>
          <w:p w14:paraId="1B5AEAE5" w14:textId="77777777" w:rsidR="009202F8" w:rsidRPr="005849BB" w:rsidRDefault="009202F8" w:rsidP="000300E2">
            <w:pPr>
              <w:spacing w:after="218" w:line="259" w:lineRule="auto"/>
              <w:rPr>
                <w:rFonts w:ascii="Titillium Web" w:hAnsi="Titillium Web" w:cstheme="minorHAnsi"/>
                <w:sz w:val="18"/>
                <w:szCs w:val="18"/>
              </w:rPr>
            </w:pPr>
            <w:r w:rsidRPr="005849BB">
              <w:rPr>
                <w:rFonts w:ascii="Titillium Web" w:hAnsi="Titillium Web" w:cstheme="minorHAnsi"/>
                <w:sz w:val="18"/>
                <w:szCs w:val="18"/>
              </w:rPr>
              <w:t>Il punteggio verrà attribuito tenuto conto dell’ampiezza, qualità e fattibilità dell’offerta del concorrente in relazione alle diverse tipologie di disabilità</w:t>
            </w:r>
          </w:p>
        </w:tc>
        <w:tc>
          <w:tcPr>
            <w:tcW w:w="1979" w:type="dxa"/>
            <w:tcBorders>
              <w:top w:val="single" w:sz="4" w:space="0" w:color="000000"/>
              <w:left w:val="single" w:sz="4" w:space="0" w:color="000000"/>
              <w:bottom w:val="single" w:sz="4" w:space="0" w:color="000000"/>
              <w:right w:val="single" w:sz="4" w:space="0" w:color="000000"/>
            </w:tcBorders>
            <w:vAlign w:val="center"/>
          </w:tcPr>
          <w:p w14:paraId="09F2132F" w14:textId="77777777" w:rsidR="009202F8" w:rsidRDefault="009202F8" w:rsidP="000300E2">
            <w:pPr>
              <w:spacing w:line="259" w:lineRule="auto"/>
              <w:ind w:left="2"/>
              <w:jc w:val="center"/>
              <w:rPr>
                <w:rFonts w:ascii="Titillium Web" w:hAnsi="Titillium Web" w:cstheme="minorHAnsi"/>
                <w:sz w:val="18"/>
                <w:szCs w:val="18"/>
              </w:rPr>
            </w:pPr>
            <w:r>
              <w:rPr>
                <w:rFonts w:ascii="Titillium Web" w:hAnsi="Titillium Web" w:cstheme="minorHAnsi"/>
                <w:sz w:val="18"/>
                <w:szCs w:val="18"/>
              </w:rPr>
              <w:t>5</w:t>
            </w:r>
            <w:r w:rsidRPr="005849BB">
              <w:rPr>
                <w:rFonts w:ascii="Titillium Web" w:hAnsi="Titillium Web" w:cstheme="minorHAnsi"/>
                <w:sz w:val="18"/>
                <w:szCs w:val="18"/>
              </w:rPr>
              <w:t xml:space="preserve"> punti</w:t>
            </w:r>
          </w:p>
          <w:p w14:paraId="26D6AA33" w14:textId="77777777" w:rsidR="009202F8" w:rsidRPr="005849BB" w:rsidRDefault="009202F8" w:rsidP="000300E2">
            <w:pPr>
              <w:spacing w:line="259" w:lineRule="auto"/>
              <w:ind w:left="2"/>
              <w:jc w:val="center"/>
              <w:rPr>
                <w:rFonts w:ascii="Titillium Web" w:hAnsi="Titillium Web" w:cstheme="minorHAnsi"/>
                <w:sz w:val="18"/>
                <w:szCs w:val="18"/>
              </w:rPr>
            </w:pPr>
            <w:r>
              <w:rPr>
                <w:rFonts w:ascii="Titillium Web" w:hAnsi="Titillium Web" w:cstheme="minorHAnsi"/>
                <w:sz w:val="18"/>
                <w:szCs w:val="18"/>
              </w:rPr>
              <w:t>D</w:t>
            </w:r>
          </w:p>
        </w:tc>
      </w:tr>
      <w:tr w:rsidR="009202F8" w:rsidRPr="005849BB" w14:paraId="4F40F8BD" w14:textId="77777777" w:rsidTr="003F7D78">
        <w:trPr>
          <w:trHeight w:val="535"/>
          <w:jc w:val="center"/>
        </w:trPr>
        <w:tc>
          <w:tcPr>
            <w:tcW w:w="533" w:type="dxa"/>
            <w:tcBorders>
              <w:top w:val="single" w:sz="4" w:space="0" w:color="000000"/>
              <w:left w:val="single" w:sz="4" w:space="0" w:color="000000"/>
              <w:bottom w:val="single" w:sz="4" w:space="0" w:color="000000"/>
              <w:right w:val="single" w:sz="4" w:space="0" w:color="000000"/>
            </w:tcBorders>
            <w:shd w:val="clear" w:color="auto" w:fill="CBD3DE" w:themeFill="text2" w:themeFillTint="40"/>
          </w:tcPr>
          <w:p w14:paraId="46D646CD" w14:textId="77777777" w:rsidR="009202F8" w:rsidRPr="005849BB" w:rsidRDefault="009202F8" w:rsidP="000300E2">
            <w:pPr>
              <w:spacing w:line="259" w:lineRule="auto"/>
              <w:ind w:left="2" w:right="108"/>
              <w:rPr>
                <w:rFonts w:ascii="Titillium Web" w:hAnsi="Titillium Web" w:cstheme="minorHAnsi"/>
                <w:sz w:val="18"/>
                <w:szCs w:val="18"/>
              </w:rPr>
            </w:pPr>
            <w:r w:rsidRPr="005849BB">
              <w:rPr>
                <w:rFonts w:ascii="Titillium Web" w:hAnsi="Titillium Web" w:cstheme="minorHAnsi"/>
                <w:sz w:val="18"/>
                <w:szCs w:val="18"/>
              </w:rPr>
              <w:t xml:space="preserve">B </w:t>
            </w:r>
          </w:p>
        </w:tc>
        <w:tc>
          <w:tcPr>
            <w:tcW w:w="7512" w:type="dxa"/>
            <w:tcBorders>
              <w:top w:val="single" w:sz="4" w:space="0" w:color="000000"/>
              <w:left w:val="single" w:sz="4" w:space="0" w:color="000000"/>
              <w:bottom w:val="single" w:sz="4" w:space="0" w:color="000000"/>
              <w:right w:val="single" w:sz="4" w:space="0" w:color="000000"/>
            </w:tcBorders>
            <w:shd w:val="clear" w:color="auto" w:fill="CBD3DE" w:themeFill="text2" w:themeFillTint="40"/>
          </w:tcPr>
          <w:p w14:paraId="25670BED" w14:textId="77777777" w:rsidR="009202F8" w:rsidRPr="005849BB" w:rsidRDefault="009202F8" w:rsidP="000300E2">
            <w:pPr>
              <w:spacing w:line="259" w:lineRule="auto"/>
              <w:ind w:left="2"/>
              <w:rPr>
                <w:rFonts w:ascii="Titillium Web" w:hAnsi="Titillium Web" w:cstheme="minorHAnsi"/>
                <w:sz w:val="18"/>
                <w:szCs w:val="18"/>
              </w:rPr>
            </w:pPr>
            <w:r w:rsidRPr="005849BB">
              <w:rPr>
                <w:rFonts w:ascii="Titillium Web" w:hAnsi="Titillium Web" w:cstheme="minorHAnsi"/>
                <w:sz w:val="18"/>
                <w:szCs w:val="18"/>
              </w:rPr>
              <w:t>Progetto organizzativo di conduzione tecnico-operativa dell’impianto</w:t>
            </w:r>
            <w:r>
              <w:rPr>
                <w:rFonts w:ascii="Titillium Web" w:hAnsi="Titillium Web" w:cstheme="minorHAnsi"/>
                <w:sz w:val="18"/>
                <w:szCs w:val="18"/>
              </w:rPr>
              <w:t xml:space="preserve"> e custodia</w:t>
            </w:r>
          </w:p>
        </w:tc>
        <w:tc>
          <w:tcPr>
            <w:tcW w:w="1979" w:type="dxa"/>
            <w:tcBorders>
              <w:top w:val="single" w:sz="4" w:space="0" w:color="000000"/>
              <w:left w:val="single" w:sz="4" w:space="0" w:color="000000"/>
              <w:bottom w:val="single" w:sz="4" w:space="0" w:color="000000"/>
              <w:right w:val="single" w:sz="4" w:space="0" w:color="000000"/>
            </w:tcBorders>
            <w:shd w:val="clear" w:color="auto" w:fill="CBD3DE" w:themeFill="text2" w:themeFillTint="40"/>
            <w:vAlign w:val="center"/>
          </w:tcPr>
          <w:p w14:paraId="7D415AAF" w14:textId="77777777" w:rsidR="009202F8" w:rsidRPr="005849BB" w:rsidRDefault="009202F8" w:rsidP="000300E2">
            <w:pPr>
              <w:spacing w:line="259" w:lineRule="auto"/>
              <w:ind w:left="2"/>
              <w:jc w:val="center"/>
              <w:rPr>
                <w:rFonts w:ascii="Titillium Web" w:hAnsi="Titillium Web" w:cstheme="minorHAnsi"/>
                <w:sz w:val="18"/>
                <w:szCs w:val="18"/>
              </w:rPr>
            </w:pPr>
            <w:r>
              <w:rPr>
                <w:rFonts w:ascii="Titillium Web" w:hAnsi="Titillium Web" w:cstheme="minorHAnsi"/>
                <w:sz w:val="18"/>
                <w:szCs w:val="18"/>
              </w:rPr>
              <w:t>15</w:t>
            </w:r>
            <w:r w:rsidRPr="005849BB">
              <w:rPr>
                <w:rFonts w:ascii="Titillium Web" w:hAnsi="Titillium Web" w:cstheme="minorHAnsi"/>
                <w:sz w:val="18"/>
                <w:szCs w:val="18"/>
              </w:rPr>
              <w:t xml:space="preserve"> punti</w:t>
            </w:r>
          </w:p>
        </w:tc>
      </w:tr>
      <w:tr w:rsidR="009202F8" w:rsidRPr="00D437B6" w14:paraId="418DE1E4" w14:textId="77777777" w:rsidTr="00547391">
        <w:trPr>
          <w:trHeight w:val="1818"/>
          <w:jc w:val="center"/>
        </w:trPr>
        <w:tc>
          <w:tcPr>
            <w:tcW w:w="533" w:type="dxa"/>
            <w:tcBorders>
              <w:top w:val="single" w:sz="4" w:space="0" w:color="000000"/>
              <w:left w:val="single" w:sz="4" w:space="0" w:color="000000"/>
              <w:bottom w:val="single" w:sz="4" w:space="0" w:color="000000"/>
              <w:right w:val="single" w:sz="4" w:space="0" w:color="000000"/>
            </w:tcBorders>
            <w:shd w:val="clear" w:color="auto" w:fill="auto"/>
          </w:tcPr>
          <w:p w14:paraId="0A934C98" w14:textId="77777777" w:rsidR="009202F8" w:rsidRPr="00D437B6" w:rsidRDefault="009202F8" w:rsidP="000300E2">
            <w:pPr>
              <w:spacing w:line="259" w:lineRule="auto"/>
              <w:rPr>
                <w:rFonts w:ascii="Titillium Web" w:hAnsi="Titillium Web" w:cstheme="minorHAnsi"/>
                <w:sz w:val="18"/>
                <w:szCs w:val="18"/>
              </w:rPr>
            </w:pPr>
            <w:r w:rsidRPr="00D437B6">
              <w:rPr>
                <w:rFonts w:ascii="Titillium Web" w:hAnsi="Titillium Web" w:cstheme="minorHAnsi"/>
                <w:sz w:val="18"/>
                <w:szCs w:val="18"/>
              </w:rPr>
              <w:lastRenderedPageBreak/>
              <w:t>B1</w:t>
            </w:r>
          </w:p>
        </w:tc>
        <w:tc>
          <w:tcPr>
            <w:tcW w:w="7512" w:type="dxa"/>
            <w:tcBorders>
              <w:top w:val="single" w:sz="4" w:space="0" w:color="000000"/>
              <w:left w:val="single" w:sz="4" w:space="0" w:color="000000"/>
              <w:bottom w:val="single" w:sz="4" w:space="0" w:color="000000"/>
              <w:right w:val="single" w:sz="4" w:space="0" w:color="000000"/>
            </w:tcBorders>
            <w:shd w:val="clear" w:color="auto" w:fill="auto"/>
          </w:tcPr>
          <w:p w14:paraId="4FEE2634" w14:textId="77777777" w:rsidR="009202F8" w:rsidRPr="00547391" w:rsidRDefault="009202F8" w:rsidP="000300E2">
            <w:pPr>
              <w:pStyle w:val="TableParagraph"/>
              <w:ind w:right="206"/>
              <w:contextualSpacing/>
              <w:jc w:val="both"/>
              <w:rPr>
                <w:rFonts w:ascii="Titillium Web" w:hAnsi="Titillium Web"/>
                <w:w w:val="90"/>
                <w:sz w:val="18"/>
                <w:szCs w:val="18"/>
              </w:rPr>
            </w:pPr>
            <w:r w:rsidRPr="00547391">
              <w:rPr>
                <w:rFonts w:ascii="Titillium Web" w:hAnsi="Titillium Web"/>
                <w:w w:val="90"/>
                <w:sz w:val="18"/>
                <w:szCs w:val="18"/>
              </w:rPr>
              <w:t>Ampliamento giornate di apertura dell'impianto in occasione di eventi aperti alla cittadinanza come segue:</w:t>
            </w:r>
          </w:p>
          <w:p w14:paraId="7E3C8190" w14:textId="77777777" w:rsidR="009202F8" w:rsidRPr="00547391" w:rsidRDefault="009202F8" w:rsidP="009202F8">
            <w:pPr>
              <w:pStyle w:val="TableParagraph"/>
              <w:numPr>
                <w:ilvl w:val="0"/>
                <w:numId w:val="62"/>
              </w:numPr>
              <w:ind w:right="206"/>
              <w:contextualSpacing/>
              <w:jc w:val="both"/>
              <w:rPr>
                <w:rFonts w:ascii="Titillium Web" w:hAnsi="Titillium Web"/>
                <w:w w:val="90"/>
                <w:sz w:val="18"/>
                <w:szCs w:val="18"/>
              </w:rPr>
            </w:pPr>
            <w:r w:rsidRPr="00547391">
              <w:rPr>
                <w:rFonts w:ascii="Titillium Web" w:hAnsi="Titillium Web"/>
                <w:w w:val="90"/>
                <w:sz w:val="18"/>
                <w:szCs w:val="18"/>
              </w:rPr>
              <w:t>Disponibilità di estensione di n. 5 giornate all’anno: 5 punti</w:t>
            </w:r>
          </w:p>
          <w:p w14:paraId="724367FF" w14:textId="77777777" w:rsidR="009202F8" w:rsidRPr="00547391" w:rsidRDefault="009202F8" w:rsidP="009202F8">
            <w:pPr>
              <w:pStyle w:val="TableParagraph"/>
              <w:numPr>
                <w:ilvl w:val="0"/>
                <w:numId w:val="62"/>
              </w:numPr>
              <w:ind w:right="206"/>
              <w:contextualSpacing/>
              <w:jc w:val="both"/>
              <w:rPr>
                <w:rFonts w:ascii="Titillium Web" w:hAnsi="Titillium Web"/>
                <w:w w:val="90"/>
                <w:sz w:val="18"/>
                <w:szCs w:val="18"/>
              </w:rPr>
            </w:pPr>
            <w:r w:rsidRPr="00547391">
              <w:rPr>
                <w:rFonts w:ascii="Titillium Web" w:hAnsi="Titillium Web"/>
                <w:w w:val="90"/>
                <w:sz w:val="18"/>
                <w:szCs w:val="18"/>
              </w:rPr>
              <w:t>Disponibilità di estensione di n. 3 giornate all’anno: 3 punti</w:t>
            </w:r>
          </w:p>
          <w:p w14:paraId="1EF9970D" w14:textId="77777777" w:rsidR="009202F8" w:rsidRPr="00547391" w:rsidRDefault="009202F8" w:rsidP="009202F8">
            <w:pPr>
              <w:pStyle w:val="TableParagraph"/>
              <w:numPr>
                <w:ilvl w:val="0"/>
                <w:numId w:val="62"/>
              </w:numPr>
              <w:ind w:right="206"/>
              <w:contextualSpacing/>
              <w:jc w:val="both"/>
              <w:rPr>
                <w:rFonts w:ascii="Titillium Web" w:hAnsi="Titillium Web"/>
                <w:w w:val="90"/>
                <w:sz w:val="18"/>
                <w:szCs w:val="18"/>
              </w:rPr>
            </w:pPr>
            <w:r w:rsidRPr="00547391">
              <w:rPr>
                <w:rFonts w:ascii="Titillium Web" w:hAnsi="Titillium Web"/>
                <w:w w:val="90"/>
                <w:sz w:val="18"/>
                <w:szCs w:val="18"/>
              </w:rPr>
              <w:t>Disponibilità di estensione di n. 1 giornata all’anno: 1 punto</w:t>
            </w:r>
          </w:p>
          <w:p w14:paraId="5F20A94C" w14:textId="77777777" w:rsidR="009202F8" w:rsidRPr="00D437B6" w:rsidRDefault="009202F8" w:rsidP="00547391">
            <w:pPr>
              <w:pStyle w:val="TableParagraph"/>
              <w:ind w:right="206"/>
              <w:contextualSpacing/>
              <w:jc w:val="both"/>
              <w:rPr>
                <w:rFonts w:ascii="Titillium Web" w:hAnsi="Titillium Web" w:cstheme="minorHAnsi"/>
                <w:sz w:val="18"/>
                <w:szCs w:val="18"/>
              </w:rPr>
            </w:pPr>
            <w:r w:rsidRPr="00547391">
              <w:rPr>
                <w:rFonts w:ascii="Titillium Web" w:hAnsi="Titillium Web"/>
                <w:w w:val="90"/>
                <w:sz w:val="18"/>
                <w:szCs w:val="18"/>
              </w:rPr>
              <w:t>Al fine dell’attribuzione del punteggio, il concorrente dovrà dichiarare chiaramente</w:t>
            </w:r>
            <w:r w:rsidRPr="00D437B6">
              <w:rPr>
                <w:rFonts w:ascii="Titillium Web" w:hAnsi="Titillium Web"/>
                <w:w w:val="90"/>
                <w:sz w:val="18"/>
                <w:szCs w:val="18"/>
              </w:rPr>
              <w:t xml:space="preserve"> e in modo schematico, all’interno dell’offerta tecnica, la disponibilità ad ampliare l</w:t>
            </w:r>
            <w:r>
              <w:rPr>
                <w:rFonts w:ascii="Titillium Web" w:hAnsi="Titillium Web"/>
                <w:w w:val="90"/>
                <w:sz w:val="18"/>
                <w:szCs w:val="18"/>
              </w:rPr>
              <w:t>e giornate</w:t>
            </w:r>
            <w:r w:rsidRPr="00D437B6">
              <w:rPr>
                <w:rFonts w:ascii="Titillium Web" w:hAnsi="Titillium Web"/>
                <w:w w:val="90"/>
                <w:sz w:val="18"/>
                <w:szCs w:val="18"/>
              </w:rPr>
              <w:t xml:space="preserve"> di apertura</w:t>
            </w:r>
            <w:r>
              <w:rPr>
                <w:rFonts w:ascii="Titillium Web" w:hAnsi="Titillium Web"/>
                <w:w w:val="90"/>
                <w:sz w:val="18"/>
                <w:szCs w:val="18"/>
              </w:rPr>
              <w:t xml:space="preserve"> </w:t>
            </w:r>
            <w:r w:rsidRPr="00D437B6">
              <w:rPr>
                <w:rFonts w:ascii="Titillium Web" w:hAnsi="Titillium Web"/>
                <w:w w:val="90"/>
                <w:sz w:val="18"/>
                <w:szCs w:val="18"/>
              </w:rPr>
              <w:t>nei termini sopra indicati.</w:t>
            </w:r>
          </w:p>
        </w:tc>
        <w:tc>
          <w:tcPr>
            <w:tcW w:w="19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BA97F" w14:textId="77777777" w:rsidR="009202F8" w:rsidRPr="00D437B6" w:rsidRDefault="009202F8" w:rsidP="000300E2">
            <w:pPr>
              <w:spacing w:line="259" w:lineRule="auto"/>
              <w:ind w:left="2" w:right="107"/>
              <w:jc w:val="center"/>
              <w:rPr>
                <w:rFonts w:ascii="Titillium Web" w:hAnsi="Titillium Web" w:cstheme="minorHAnsi"/>
                <w:sz w:val="18"/>
                <w:szCs w:val="18"/>
              </w:rPr>
            </w:pPr>
            <w:r w:rsidRPr="00D437B6">
              <w:rPr>
                <w:rFonts w:ascii="Titillium Web" w:hAnsi="Titillium Web" w:cstheme="minorHAnsi"/>
                <w:sz w:val="18"/>
                <w:szCs w:val="18"/>
              </w:rPr>
              <w:t>5 punti</w:t>
            </w:r>
          </w:p>
          <w:p w14:paraId="71721B4A" w14:textId="77777777" w:rsidR="009202F8" w:rsidRPr="00D437B6" w:rsidRDefault="009202F8" w:rsidP="000300E2">
            <w:pPr>
              <w:spacing w:line="259" w:lineRule="auto"/>
              <w:ind w:left="2" w:right="107"/>
              <w:jc w:val="center"/>
              <w:rPr>
                <w:rFonts w:ascii="Titillium Web" w:hAnsi="Titillium Web" w:cstheme="minorHAnsi"/>
                <w:sz w:val="18"/>
                <w:szCs w:val="18"/>
              </w:rPr>
            </w:pPr>
            <w:r w:rsidRPr="00D437B6">
              <w:rPr>
                <w:rFonts w:ascii="Titillium Web" w:hAnsi="Titillium Web" w:cstheme="minorHAnsi"/>
                <w:sz w:val="18"/>
                <w:szCs w:val="18"/>
              </w:rPr>
              <w:t>T</w:t>
            </w:r>
          </w:p>
        </w:tc>
      </w:tr>
      <w:tr w:rsidR="009202F8" w:rsidRPr="00D437B6" w14:paraId="440972EF" w14:textId="77777777" w:rsidTr="003F7D78">
        <w:trPr>
          <w:trHeight w:val="1233"/>
          <w:jc w:val="center"/>
        </w:trPr>
        <w:tc>
          <w:tcPr>
            <w:tcW w:w="533" w:type="dxa"/>
            <w:tcBorders>
              <w:top w:val="single" w:sz="4" w:space="0" w:color="000000"/>
              <w:left w:val="single" w:sz="4" w:space="0" w:color="000000"/>
              <w:bottom w:val="single" w:sz="4" w:space="0" w:color="000000"/>
              <w:right w:val="single" w:sz="4" w:space="0" w:color="000000"/>
            </w:tcBorders>
            <w:shd w:val="clear" w:color="auto" w:fill="auto"/>
          </w:tcPr>
          <w:p w14:paraId="7B1FC9E8" w14:textId="77777777" w:rsidR="009202F8" w:rsidRPr="00D437B6" w:rsidRDefault="009202F8" w:rsidP="000300E2">
            <w:pPr>
              <w:spacing w:line="259" w:lineRule="auto"/>
              <w:rPr>
                <w:rFonts w:ascii="Titillium Web" w:hAnsi="Titillium Web" w:cstheme="minorHAnsi"/>
                <w:sz w:val="18"/>
                <w:szCs w:val="18"/>
              </w:rPr>
            </w:pPr>
            <w:r w:rsidRPr="00D437B6">
              <w:rPr>
                <w:rFonts w:ascii="Titillium Web" w:hAnsi="Titillium Web" w:cstheme="minorHAnsi"/>
                <w:sz w:val="18"/>
                <w:szCs w:val="18"/>
              </w:rPr>
              <w:t>B2</w:t>
            </w:r>
          </w:p>
        </w:tc>
        <w:tc>
          <w:tcPr>
            <w:tcW w:w="7512" w:type="dxa"/>
            <w:tcBorders>
              <w:top w:val="single" w:sz="4" w:space="0" w:color="000000"/>
              <w:left w:val="single" w:sz="4" w:space="0" w:color="000000"/>
              <w:bottom w:val="single" w:sz="4" w:space="0" w:color="000000"/>
              <w:right w:val="single" w:sz="4" w:space="0" w:color="000000"/>
            </w:tcBorders>
            <w:shd w:val="clear" w:color="auto" w:fill="auto"/>
          </w:tcPr>
          <w:p w14:paraId="0D91C092" w14:textId="77777777" w:rsidR="009202F8" w:rsidRPr="00106818" w:rsidRDefault="009202F8" w:rsidP="000300E2">
            <w:pPr>
              <w:pStyle w:val="TableParagraph"/>
              <w:ind w:right="206"/>
              <w:contextualSpacing/>
              <w:jc w:val="both"/>
              <w:rPr>
                <w:rFonts w:ascii="Titillium Web" w:hAnsi="Titillium Web"/>
                <w:w w:val="90"/>
                <w:sz w:val="18"/>
                <w:szCs w:val="18"/>
              </w:rPr>
            </w:pPr>
            <w:r w:rsidRPr="00106818">
              <w:rPr>
                <w:rFonts w:ascii="Titillium Web" w:hAnsi="Titillium Web"/>
                <w:w w:val="90"/>
                <w:sz w:val="18"/>
                <w:szCs w:val="18"/>
              </w:rPr>
              <w:t>Frequenza, modalità di pulizia e sanificazione di spogliatoi e tribune</w:t>
            </w:r>
          </w:p>
          <w:p w14:paraId="2B955B1C" w14:textId="77777777" w:rsidR="009202F8" w:rsidRPr="00106818" w:rsidRDefault="009202F8" w:rsidP="000300E2">
            <w:pPr>
              <w:pStyle w:val="TableParagraph"/>
              <w:ind w:right="206"/>
              <w:contextualSpacing/>
              <w:jc w:val="both"/>
              <w:rPr>
                <w:rFonts w:ascii="Titillium Web" w:hAnsi="Titillium Web" w:cstheme="minorHAnsi"/>
                <w:sz w:val="18"/>
                <w:szCs w:val="18"/>
              </w:rPr>
            </w:pPr>
            <w:r w:rsidRPr="00106818">
              <w:rPr>
                <w:rFonts w:ascii="Titillium Web" w:hAnsi="Titillium Web" w:cstheme="minorHAnsi"/>
                <w:b/>
                <w:bCs/>
                <w:sz w:val="18"/>
                <w:szCs w:val="18"/>
              </w:rPr>
              <w:t>Spogliatoi e Docce:</w:t>
            </w:r>
            <w:r w:rsidRPr="00106818">
              <w:rPr>
                <w:rFonts w:ascii="Titillium Web" w:hAnsi="Titillium Web" w:cstheme="minorHAnsi"/>
                <w:sz w:val="18"/>
                <w:szCs w:val="18"/>
              </w:rPr>
              <w:t xml:space="preserve"> si valuterà il passaggio giornaliero obbligatorio, ma il punteggio aumenta se si propongono </w:t>
            </w:r>
            <w:r w:rsidRPr="00106818">
              <w:rPr>
                <w:rFonts w:ascii="Titillium Web" w:hAnsi="Titillium Web" w:cstheme="minorHAnsi"/>
                <w:b/>
                <w:bCs/>
                <w:sz w:val="18"/>
                <w:szCs w:val="18"/>
              </w:rPr>
              <w:t>interventi ciclici supplementari dopo ogni sessione di allenamento o partita</w:t>
            </w:r>
            <w:r w:rsidRPr="00106818">
              <w:rPr>
                <w:rFonts w:ascii="Titillium Web" w:hAnsi="Titillium Web" w:cstheme="minorHAnsi"/>
                <w:sz w:val="18"/>
                <w:szCs w:val="18"/>
              </w:rPr>
              <w:t xml:space="preserve"> (es. pulizia straordinaria post-gara e riordino immediato dei locali)</w:t>
            </w:r>
          </w:p>
          <w:p w14:paraId="1BD5123F" w14:textId="77777777" w:rsidR="009202F8" w:rsidRPr="00D437B6" w:rsidRDefault="009202F8" w:rsidP="000300E2">
            <w:pPr>
              <w:pStyle w:val="TableParagraph"/>
              <w:ind w:right="206"/>
              <w:contextualSpacing/>
              <w:jc w:val="both"/>
              <w:rPr>
                <w:rFonts w:ascii="Titillium Web" w:hAnsi="Titillium Web" w:cstheme="minorHAnsi"/>
                <w:sz w:val="18"/>
                <w:szCs w:val="18"/>
              </w:rPr>
            </w:pPr>
            <w:r w:rsidRPr="00106818">
              <w:rPr>
                <w:rFonts w:ascii="Titillium Web" w:hAnsi="Titillium Web" w:cstheme="minorHAnsi"/>
                <w:b/>
                <w:bCs/>
                <w:sz w:val="18"/>
                <w:szCs w:val="18"/>
              </w:rPr>
              <w:t>Tribune e Servizi al Pubblico:</w:t>
            </w:r>
            <w:r w:rsidRPr="00106818">
              <w:rPr>
                <w:rFonts w:ascii="Titillium Web" w:hAnsi="Titillium Web" w:cstheme="minorHAnsi"/>
                <w:sz w:val="18"/>
                <w:szCs w:val="18"/>
              </w:rPr>
              <w:t xml:space="preserve"> si valuterà la pianificazione ordinaria (settimanale o bisettimanale) e la </w:t>
            </w:r>
            <w:r w:rsidRPr="00106818">
              <w:rPr>
                <w:rFonts w:ascii="Titillium Web" w:hAnsi="Titillium Web" w:cstheme="minorHAnsi"/>
                <w:b/>
                <w:bCs/>
                <w:sz w:val="18"/>
                <w:szCs w:val="18"/>
              </w:rPr>
              <w:t>frequenza straordinaria legata agli eventi sportivi</w:t>
            </w:r>
            <w:r w:rsidRPr="00106818">
              <w:rPr>
                <w:rFonts w:ascii="Titillium Web" w:hAnsi="Titillium Web" w:cstheme="minorHAnsi"/>
                <w:sz w:val="18"/>
                <w:szCs w:val="18"/>
              </w:rPr>
              <w:t xml:space="preserve"> (pulizia profonda prima della partita e rimozione differenziata dei rifiuti immediatamente dopo il deflusso degli spettatori)</w:t>
            </w:r>
          </w:p>
        </w:tc>
        <w:tc>
          <w:tcPr>
            <w:tcW w:w="19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9C2E4" w14:textId="77777777" w:rsidR="009202F8" w:rsidRPr="00D437B6" w:rsidRDefault="009202F8" w:rsidP="000300E2">
            <w:pPr>
              <w:spacing w:line="259" w:lineRule="auto"/>
              <w:ind w:left="2" w:right="107"/>
              <w:jc w:val="center"/>
              <w:rPr>
                <w:rFonts w:ascii="Titillium Web" w:hAnsi="Titillium Web" w:cstheme="minorHAnsi"/>
                <w:sz w:val="18"/>
                <w:szCs w:val="18"/>
              </w:rPr>
            </w:pPr>
            <w:r w:rsidRPr="00D437B6">
              <w:rPr>
                <w:rFonts w:ascii="Titillium Web" w:hAnsi="Titillium Web" w:cstheme="minorHAnsi"/>
                <w:sz w:val="18"/>
                <w:szCs w:val="18"/>
              </w:rPr>
              <w:t>5 punti</w:t>
            </w:r>
          </w:p>
          <w:p w14:paraId="55269405" w14:textId="77777777" w:rsidR="009202F8" w:rsidRPr="00D437B6" w:rsidRDefault="009202F8" w:rsidP="000300E2">
            <w:pPr>
              <w:spacing w:line="259" w:lineRule="auto"/>
              <w:ind w:left="2" w:right="107"/>
              <w:jc w:val="center"/>
              <w:rPr>
                <w:rFonts w:ascii="Titillium Web" w:hAnsi="Titillium Web" w:cstheme="minorHAnsi"/>
                <w:sz w:val="18"/>
                <w:szCs w:val="18"/>
              </w:rPr>
            </w:pPr>
            <w:r w:rsidRPr="00D437B6">
              <w:rPr>
                <w:rFonts w:ascii="Titillium Web" w:hAnsi="Titillium Web" w:cstheme="minorHAnsi"/>
                <w:sz w:val="18"/>
                <w:szCs w:val="18"/>
              </w:rPr>
              <w:t>D</w:t>
            </w:r>
          </w:p>
        </w:tc>
      </w:tr>
      <w:tr w:rsidR="009202F8" w:rsidRPr="00D437B6" w14:paraId="53FF8A59" w14:textId="77777777" w:rsidTr="003F7D78">
        <w:trPr>
          <w:trHeight w:val="859"/>
          <w:jc w:val="center"/>
        </w:trPr>
        <w:tc>
          <w:tcPr>
            <w:tcW w:w="533" w:type="dxa"/>
            <w:tcBorders>
              <w:top w:val="single" w:sz="4" w:space="0" w:color="000000"/>
              <w:left w:val="single" w:sz="4" w:space="0" w:color="000000"/>
              <w:bottom w:val="single" w:sz="4" w:space="0" w:color="000000"/>
              <w:right w:val="single" w:sz="4" w:space="0" w:color="000000"/>
            </w:tcBorders>
            <w:shd w:val="clear" w:color="auto" w:fill="auto"/>
          </w:tcPr>
          <w:p w14:paraId="398B22FA" w14:textId="77777777" w:rsidR="009202F8" w:rsidRPr="00D437B6" w:rsidRDefault="009202F8" w:rsidP="000300E2">
            <w:pPr>
              <w:spacing w:line="259" w:lineRule="auto"/>
              <w:rPr>
                <w:rFonts w:ascii="Titillium Web" w:hAnsi="Titillium Web" w:cstheme="minorHAnsi"/>
                <w:sz w:val="18"/>
                <w:szCs w:val="18"/>
              </w:rPr>
            </w:pPr>
            <w:r w:rsidRPr="00D437B6">
              <w:rPr>
                <w:rFonts w:ascii="Titillium Web" w:hAnsi="Titillium Web" w:cstheme="minorHAnsi"/>
                <w:sz w:val="18"/>
                <w:szCs w:val="18"/>
              </w:rPr>
              <w:t>B3</w:t>
            </w:r>
          </w:p>
        </w:tc>
        <w:tc>
          <w:tcPr>
            <w:tcW w:w="7512" w:type="dxa"/>
            <w:tcBorders>
              <w:top w:val="single" w:sz="4" w:space="0" w:color="000000"/>
              <w:left w:val="single" w:sz="4" w:space="0" w:color="000000"/>
              <w:bottom w:val="single" w:sz="4" w:space="0" w:color="000000"/>
              <w:right w:val="single" w:sz="4" w:space="0" w:color="000000"/>
            </w:tcBorders>
            <w:shd w:val="clear" w:color="auto" w:fill="auto"/>
          </w:tcPr>
          <w:p w14:paraId="29C996BB" w14:textId="77777777" w:rsidR="009202F8" w:rsidRPr="00106818" w:rsidRDefault="009202F8" w:rsidP="000300E2">
            <w:pPr>
              <w:spacing w:line="259" w:lineRule="auto"/>
              <w:ind w:left="2" w:right="107"/>
              <w:rPr>
                <w:rFonts w:ascii="Titillium Web" w:hAnsi="Titillium Web" w:cstheme="minorHAnsi"/>
                <w:sz w:val="18"/>
                <w:szCs w:val="18"/>
              </w:rPr>
            </w:pPr>
            <w:r w:rsidRPr="00106818">
              <w:rPr>
                <w:rFonts w:ascii="Titillium Web" w:hAnsi="Titillium Web" w:cstheme="minorHAnsi"/>
                <w:sz w:val="18"/>
                <w:szCs w:val="18"/>
              </w:rPr>
              <w:t xml:space="preserve">Piano di sicurezza, custodia fisica </w:t>
            </w:r>
          </w:p>
          <w:p w14:paraId="35A84978" w14:textId="77777777" w:rsidR="009202F8" w:rsidRPr="00106818" w:rsidRDefault="009202F8" w:rsidP="000300E2">
            <w:pPr>
              <w:spacing w:line="259" w:lineRule="auto"/>
              <w:ind w:left="2" w:right="107"/>
              <w:rPr>
                <w:rFonts w:ascii="Titillium Web" w:hAnsi="Titillium Web" w:cstheme="minorHAnsi"/>
                <w:sz w:val="18"/>
                <w:szCs w:val="18"/>
              </w:rPr>
            </w:pPr>
            <w:r w:rsidRPr="00106818">
              <w:rPr>
                <w:rFonts w:ascii="Titillium Web" w:hAnsi="Titillium Web" w:cstheme="minorHAnsi"/>
                <w:b/>
                <w:bCs/>
                <w:sz w:val="18"/>
                <w:szCs w:val="18"/>
              </w:rPr>
              <w:t>Procedure di evacuazione e gestione dei flussi:</w:t>
            </w:r>
            <w:r w:rsidRPr="00106818">
              <w:rPr>
                <w:rFonts w:ascii="Titillium Web" w:hAnsi="Titillium Web" w:cstheme="minorHAnsi"/>
                <w:sz w:val="18"/>
                <w:szCs w:val="18"/>
              </w:rPr>
              <w:t xml:space="preserve"> si valuterà la chiarezza dei protocolli per il deflusso del pubblico (specialmente durante partite o eventi ad alta affluenza) e la gestione delle emergenze meteo o sanitarie</w:t>
            </w:r>
          </w:p>
          <w:p w14:paraId="141749A7" w14:textId="77777777" w:rsidR="009202F8" w:rsidRPr="00D437B6" w:rsidRDefault="009202F8" w:rsidP="000300E2">
            <w:pPr>
              <w:spacing w:line="259" w:lineRule="auto"/>
              <w:ind w:left="2" w:right="107"/>
              <w:rPr>
                <w:rFonts w:ascii="Titillium Web" w:hAnsi="Titillium Web" w:cstheme="minorHAnsi"/>
                <w:sz w:val="18"/>
                <w:szCs w:val="18"/>
              </w:rPr>
            </w:pPr>
            <w:r w:rsidRPr="00106818">
              <w:rPr>
                <w:rFonts w:ascii="Titillium Web" w:hAnsi="Titillium Web" w:cstheme="minorHAnsi"/>
                <w:b/>
                <w:bCs/>
                <w:sz w:val="18"/>
                <w:szCs w:val="18"/>
              </w:rPr>
              <w:t>Controllo degli accessi:</w:t>
            </w:r>
            <w:r w:rsidRPr="00106818">
              <w:rPr>
                <w:rFonts w:ascii="Titillium Web" w:hAnsi="Titillium Web" w:cstheme="minorHAnsi"/>
                <w:sz w:val="18"/>
                <w:szCs w:val="18"/>
              </w:rPr>
              <w:t xml:space="preserve"> si valuteranno i sistemi di filtro all'ingresso per atleti, soci, spettatori e fornitori (es. pass, tornelli, tesseramento digitale) per bloccare i non autorizzati</w:t>
            </w:r>
          </w:p>
        </w:tc>
        <w:tc>
          <w:tcPr>
            <w:tcW w:w="19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142F7" w14:textId="77777777" w:rsidR="009202F8" w:rsidRPr="00D437B6" w:rsidRDefault="009202F8" w:rsidP="000300E2">
            <w:pPr>
              <w:spacing w:line="259" w:lineRule="auto"/>
              <w:ind w:left="2" w:right="107"/>
              <w:jc w:val="center"/>
              <w:rPr>
                <w:rFonts w:ascii="Titillium Web" w:hAnsi="Titillium Web" w:cstheme="minorHAnsi"/>
                <w:sz w:val="18"/>
                <w:szCs w:val="18"/>
              </w:rPr>
            </w:pPr>
            <w:r w:rsidRPr="00D437B6">
              <w:rPr>
                <w:rFonts w:ascii="Titillium Web" w:hAnsi="Titillium Web" w:cstheme="minorHAnsi"/>
                <w:sz w:val="18"/>
                <w:szCs w:val="18"/>
              </w:rPr>
              <w:t>5 punti</w:t>
            </w:r>
          </w:p>
          <w:p w14:paraId="0022D986" w14:textId="77777777" w:rsidR="009202F8" w:rsidRPr="00D437B6" w:rsidRDefault="009202F8" w:rsidP="000300E2">
            <w:pPr>
              <w:spacing w:line="259" w:lineRule="auto"/>
              <w:ind w:left="2" w:right="107"/>
              <w:jc w:val="center"/>
              <w:rPr>
                <w:rFonts w:ascii="Titillium Web" w:hAnsi="Titillium Web" w:cstheme="minorHAnsi"/>
                <w:sz w:val="18"/>
                <w:szCs w:val="18"/>
              </w:rPr>
            </w:pPr>
            <w:r w:rsidRPr="00D437B6">
              <w:rPr>
                <w:rFonts w:ascii="Titillium Web" w:hAnsi="Titillium Web" w:cstheme="minorHAnsi"/>
                <w:sz w:val="18"/>
                <w:szCs w:val="18"/>
              </w:rPr>
              <w:t>D</w:t>
            </w:r>
          </w:p>
        </w:tc>
      </w:tr>
      <w:tr w:rsidR="009202F8" w:rsidRPr="005849BB" w14:paraId="3A5AF5BF" w14:textId="77777777" w:rsidTr="003F7D78">
        <w:trPr>
          <w:trHeight w:val="576"/>
          <w:jc w:val="center"/>
        </w:trPr>
        <w:tc>
          <w:tcPr>
            <w:tcW w:w="533" w:type="dxa"/>
            <w:tcBorders>
              <w:top w:val="single" w:sz="4" w:space="0" w:color="000000"/>
              <w:left w:val="single" w:sz="4" w:space="0" w:color="000000"/>
              <w:bottom w:val="single" w:sz="4" w:space="0" w:color="000000"/>
              <w:right w:val="single" w:sz="4" w:space="0" w:color="000000"/>
            </w:tcBorders>
            <w:shd w:val="clear" w:color="auto" w:fill="CBD3DE" w:themeFill="text2" w:themeFillTint="40"/>
          </w:tcPr>
          <w:p w14:paraId="0D6B59AB" w14:textId="77777777" w:rsidR="009202F8" w:rsidRPr="005849BB" w:rsidRDefault="009202F8" w:rsidP="000300E2">
            <w:pPr>
              <w:spacing w:line="259" w:lineRule="auto"/>
              <w:ind w:left="2"/>
              <w:rPr>
                <w:rFonts w:ascii="Titillium Web" w:hAnsi="Titillium Web" w:cstheme="minorHAnsi"/>
                <w:sz w:val="18"/>
                <w:szCs w:val="18"/>
              </w:rPr>
            </w:pPr>
            <w:r>
              <w:rPr>
                <w:rFonts w:ascii="Titillium Web" w:hAnsi="Titillium Web" w:cstheme="minorHAnsi"/>
                <w:sz w:val="18"/>
                <w:szCs w:val="18"/>
              </w:rPr>
              <w:t>C</w:t>
            </w:r>
          </w:p>
        </w:tc>
        <w:tc>
          <w:tcPr>
            <w:tcW w:w="7512" w:type="dxa"/>
            <w:tcBorders>
              <w:top w:val="single" w:sz="4" w:space="0" w:color="000000"/>
              <w:left w:val="single" w:sz="4" w:space="0" w:color="000000"/>
              <w:bottom w:val="single" w:sz="4" w:space="0" w:color="000000"/>
              <w:right w:val="single" w:sz="4" w:space="0" w:color="000000"/>
            </w:tcBorders>
            <w:shd w:val="clear" w:color="auto" w:fill="CBD3DE" w:themeFill="text2" w:themeFillTint="40"/>
          </w:tcPr>
          <w:p w14:paraId="6A5BB51C" w14:textId="77777777" w:rsidR="009202F8" w:rsidRPr="005849BB" w:rsidRDefault="009202F8" w:rsidP="000300E2">
            <w:pPr>
              <w:spacing w:line="259" w:lineRule="auto"/>
              <w:ind w:left="2" w:right="107"/>
              <w:rPr>
                <w:rFonts w:ascii="Titillium Web" w:hAnsi="Titillium Web" w:cstheme="minorHAnsi"/>
                <w:sz w:val="18"/>
                <w:szCs w:val="18"/>
              </w:rPr>
            </w:pPr>
            <w:r w:rsidRPr="00260273">
              <w:rPr>
                <w:rFonts w:ascii="Titillium Web" w:hAnsi="Titillium Web" w:cstheme="minorHAnsi"/>
                <w:sz w:val="18"/>
                <w:szCs w:val="18"/>
              </w:rPr>
              <w:t>Manutenzione Campo Erba</w:t>
            </w:r>
          </w:p>
        </w:tc>
        <w:tc>
          <w:tcPr>
            <w:tcW w:w="1979" w:type="dxa"/>
            <w:tcBorders>
              <w:top w:val="single" w:sz="4" w:space="0" w:color="000000"/>
              <w:left w:val="single" w:sz="4" w:space="0" w:color="000000"/>
              <w:bottom w:val="single" w:sz="4" w:space="0" w:color="000000"/>
              <w:right w:val="single" w:sz="4" w:space="0" w:color="000000"/>
            </w:tcBorders>
            <w:shd w:val="clear" w:color="auto" w:fill="CBD3DE" w:themeFill="text2" w:themeFillTint="40"/>
            <w:vAlign w:val="center"/>
          </w:tcPr>
          <w:p w14:paraId="5B3FD1A8" w14:textId="77777777" w:rsidR="009202F8" w:rsidRPr="005849BB" w:rsidRDefault="009202F8" w:rsidP="000300E2">
            <w:pPr>
              <w:spacing w:line="259" w:lineRule="auto"/>
              <w:ind w:left="2"/>
              <w:jc w:val="center"/>
              <w:rPr>
                <w:rFonts w:ascii="Titillium Web" w:hAnsi="Titillium Web" w:cstheme="minorHAnsi"/>
                <w:sz w:val="18"/>
                <w:szCs w:val="18"/>
              </w:rPr>
            </w:pPr>
            <w:r>
              <w:rPr>
                <w:rFonts w:ascii="Titillium Web" w:hAnsi="Titillium Web" w:cstheme="minorHAnsi"/>
                <w:sz w:val="18"/>
                <w:szCs w:val="18"/>
              </w:rPr>
              <w:t xml:space="preserve"> 20 punti</w:t>
            </w:r>
          </w:p>
        </w:tc>
      </w:tr>
      <w:tr w:rsidR="009202F8" w:rsidRPr="0029480F" w14:paraId="2136071E" w14:textId="77777777" w:rsidTr="003F7D78">
        <w:trPr>
          <w:trHeight w:val="576"/>
          <w:jc w:val="center"/>
        </w:trPr>
        <w:tc>
          <w:tcPr>
            <w:tcW w:w="533" w:type="dxa"/>
            <w:tcBorders>
              <w:top w:val="single" w:sz="4" w:space="0" w:color="000000"/>
              <w:left w:val="single" w:sz="4" w:space="0" w:color="000000"/>
              <w:bottom w:val="single" w:sz="4" w:space="0" w:color="000000"/>
              <w:right w:val="single" w:sz="4" w:space="0" w:color="000000"/>
            </w:tcBorders>
          </w:tcPr>
          <w:p w14:paraId="4E926073" w14:textId="77777777" w:rsidR="009202F8" w:rsidRDefault="009202F8" w:rsidP="000300E2">
            <w:pPr>
              <w:spacing w:line="259" w:lineRule="auto"/>
              <w:rPr>
                <w:rFonts w:ascii="Titillium Web" w:hAnsi="Titillium Web" w:cstheme="minorHAnsi"/>
                <w:sz w:val="18"/>
                <w:szCs w:val="18"/>
              </w:rPr>
            </w:pPr>
            <w:r>
              <w:rPr>
                <w:rFonts w:ascii="Titillium Web" w:hAnsi="Titillium Web" w:cstheme="minorHAnsi"/>
                <w:sz w:val="18"/>
                <w:szCs w:val="18"/>
              </w:rPr>
              <w:t>C1</w:t>
            </w:r>
          </w:p>
        </w:tc>
        <w:tc>
          <w:tcPr>
            <w:tcW w:w="7512" w:type="dxa"/>
            <w:tcBorders>
              <w:top w:val="single" w:sz="4" w:space="0" w:color="000000"/>
              <w:left w:val="single" w:sz="4" w:space="0" w:color="000000"/>
              <w:bottom w:val="single" w:sz="4" w:space="0" w:color="000000"/>
              <w:right w:val="single" w:sz="4" w:space="0" w:color="000000"/>
            </w:tcBorders>
          </w:tcPr>
          <w:p w14:paraId="608B013B" w14:textId="77777777" w:rsidR="009202F8" w:rsidRPr="00260273" w:rsidRDefault="009202F8" w:rsidP="000300E2">
            <w:pPr>
              <w:spacing w:line="259" w:lineRule="auto"/>
              <w:ind w:right="107"/>
              <w:rPr>
                <w:rFonts w:ascii="Titillium Web" w:hAnsi="Titillium Web" w:cstheme="minorHAnsi"/>
                <w:sz w:val="18"/>
                <w:szCs w:val="18"/>
              </w:rPr>
            </w:pPr>
            <w:r w:rsidRPr="0029480F">
              <w:rPr>
                <w:rFonts w:ascii="Titillium Web" w:hAnsi="Titillium Web" w:cstheme="minorHAnsi"/>
                <w:sz w:val="18"/>
                <w:szCs w:val="18"/>
              </w:rPr>
              <w:t xml:space="preserve"> Qualità del piano agronomico (risemina, carotatura, concimazione)</w:t>
            </w:r>
          </w:p>
        </w:tc>
        <w:tc>
          <w:tcPr>
            <w:tcW w:w="1979" w:type="dxa"/>
            <w:tcBorders>
              <w:top w:val="single" w:sz="4" w:space="0" w:color="000000"/>
              <w:left w:val="single" w:sz="4" w:space="0" w:color="000000"/>
              <w:bottom w:val="single" w:sz="4" w:space="0" w:color="000000"/>
              <w:right w:val="single" w:sz="4" w:space="0" w:color="000000"/>
            </w:tcBorders>
            <w:vAlign w:val="center"/>
          </w:tcPr>
          <w:p w14:paraId="4FBB0C06" w14:textId="77777777" w:rsidR="009202F8" w:rsidRDefault="009202F8" w:rsidP="000300E2">
            <w:pPr>
              <w:spacing w:line="259" w:lineRule="auto"/>
              <w:jc w:val="center"/>
              <w:rPr>
                <w:rFonts w:ascii="Titillium Web" w:hAnsi="Titillium Web" w:cstheme="minorHAnsi"/>
                <w:sz w:val="18"/>
                <w:szCs w:val="18"/>
              </w:rPr>
            </w:pPr>
            <w:r>
              <w:rPr>
                <w:rFonts w:ascii="Titillium Web" w:hAnsi="Titillium Web" w:cstheme="minorHAnsi"/>
                <w:sz w:val="18"/>
                <w:szCs w:val="18"/>
              </w:rPr>
              <w:t>8 punti</w:t>
            </w:r>
          </w:p>
          <w:p w14:paraId="55C928FB" w14:textId="77777777" w:rsidR="009202F8" w:rsidRPr="0029480F" w:rsidRDefault="009202F8" w:rsidP="000300E2">
            <w:pPr>
              <w:spacing w:line="259" w:lineRule="auto"/>
              <w:jc w:val="center"/>
              <w:rPr>
                <w:rFonts w:ascii="Titillium Web" w:hAnsi="Titillium Web" w:cstheme="minorHAnsi"/>
                <w:sz w:val="18"/>
                <w:szCs w:val="18"/>
              </w:rPr>
            </w:pPr>
            <w:r>
              <w:rPr>
                <w:rFonts w:ascii="Titillium Web" w:hAnsi="Titillium Web" w:cstheme="minorHAnsi"/>
                <w:sz w:val="18"/>
                <w:szCs w:val="18"/>
              </w:rPr>
              <w:t>D</w:t>
            </w:r>
          </w:p>
        </w:tc>
      </w:tr>
      <w:tr w:rsidR="009202F8" w14:paraId="2AD9AF75" w14:textId="77777777" w:rsidTr="003F7D78">
        <w:trPr>
          <w:trHeight w:val="576"/>
          <w:jc w:val="center"/>
        </w:trPr>
        <w:tc>
          <w:tcPr>
            <w:tcW w:w="533" w:type="dxa"/>
            <w:tcBorders>
              <w:top w:val="single" w:sz="4" w:space="0" w:color="000000"/>
              <w:left w:val="single" w:sz="4" w:space="0" w:color="000000"/>
              <w:bottom w:val="single" w:sz="4" w:space="0" w:color="000000"/>
              <w:right w:val="single" w:sz="4" w:space="0" w:color="000000"/>
            </w:tcBorders>
          </w:tcPr>
          <w:p w14:paraId="30BBCCE3" w14:textId="77777777" w:rsidR="009202F8" w:rsidRDefault="009202F8" w:rsidP="000300E2">
            <w:pPr>
              <w:spacing w:line="259" w:lineRule="auto"/>
              <w:rPr>
                <w:rFonts w:ascii="Titillium Web" w:hAnsi="Titillium Web" w:cstheme="minorHAnsi"/>
                <w:sz w:val="18"/>
                <w:szCs w:val="18"/>
              </w:rPr>
            </w:pPr>
            <w:r>
              <w:rPr>
                <w:rFonts w:ascii="Titillium Web" w:hAnsi="Titillium Web" w:cstheme="minorHAnsi"/>
                <w:sz w:val="18"/>
                <w:szCs w:val="18"/>
              </w:rPr>
              <w:t>C2</w:t>
            </w:r>
          </w:p>
        </w:tc>
        <w:tc>
          <w:tcPr>
            <w:tcW w:w="7512" w:type="dxa"/>
            <w:tcBorders>
              <w:top w:val="single" w:sz="4" w:space="0" w:color="000000"/>
              <w:left w:val="single" w:sz="4" w:space="0" w:color="000000"/>
              <w:bottom w:val="single" w:sz="4" w:space="0" w:color="000000"/>
              <w:right w:val="single" w:sz="4" w:space="0" w:color="000000"/>
            </w:tcBorders>
          </w:tcPr>
          <w:p w14:paraId="2FAFE2C7" w14:textId="77777777" w:rsidR="009202F8" w:rsidRPr="0029480F" w:rsidRDefault="009202F8" w:rsidP="000300E2">
            <w:pPr>
              <w:spacing w:line="259" w:lineRule="auto"/>
              <w:ind w:right="107"/>
              <w:rPr>
                <w:rFonts w:ascii="Titillium Web" w:hAnsi="Titillium Web" w:cstheme="minorHAnsi"/>
                <w:sz w:val="18"/>
                <w:szCs w:val="18"/>
              </w:rPr>
            </w:pPr>
            <w:r w:rsidRPr="007D0CB9">
              <w:rPr>
                <w:rFonts w:ascii="Titillium Web" w:hAnsi="Titillium Web" w:cstheme="minorHAnsi"/>
                <w:sz w:val="18"/>
                <w:szCs w:val="18"/>
              </w:rPr>
              <w:t>Calendario dei tagli del manto erboso e piano di irrigazione ottimizzato</w:t>
            </w:r>
          </w:p>
        </w:tc>
        <w:tc>
          <w:tcPr>
            <w:tcW w:w="1979" w:type="dxa"/>
            <w:tcBorders>
              <w:top w:val="single" w:sz="4" w:space="0" w:color="000000"/>
              <w:left w:val="single" w:sz="4" w:space="0" w:color="000000"/>
              <w:bottom w:val="single" w:sz="4" w:space="0" w:color="000000"/>
              <w:right w:val="single" w:sz="4" w:space="0" w:color="000000"/>
            </w:tcBorders>
            <w:vAlign w:val="center"/>
          </w:tcPr>
          <w:p w14:paraId="099BBC9F" w14:textId="77777777" w:rsidR="009202F8" w:rsidRDefault="009202F8" w:rsidP="000300E2">
            <w:pPr>
              <w:spacing w:line="259" w:lineRule="auto"/>
              <w:jc w:val="center"/>
              <w:rPr>
                <w:rFonts w:ascii="Titillium Web" w:hAnsi="Titillium Web" w:cstheme="minorHAnsi"/>
                <w:sz w:val="18"/>
                <w:szCs w:val="18"/>
              </w:rPr>
            </w:pPr>
            <w:r>
              <w:rPr>
                <w:rFonts w:ascii="Titillium Web" w:hAnsi="Titillium Web" w:cstheme="minorHAnsi"/>
                <w:sz w:val="18"/>
                <w:szCs w:val="18"/>
              </w:rPr>
              <w:t>6 punti</w:t>
            </w:r>
          </w:p>
          <w:p w14:paraId="369FC873" w14:textId="77777777" w:rsidR="009202F8" w:rsidRDefault="009202F8" w:rsidP="000300E2">
            <w:pPr>
              <w:spacing w:line="259" w:lineRule="auto"/>
              <w:jc w:val="center"/>
              <w:rPr>
                <w:rFonts w:ascii="Titillium Web" w:hAnsi="Titillium Web" w:cstheme="minorHAnsi"/>
                <w:sz w:val="18"/>
                <w:szCs w:val="18"/>
              </w:rPr>
            </w:pPr>
            <w:r>
              <w:rPr>
                <w:rFonts w:ascii="Titillium Web" w:hAnsi="Titillium Web" w:cstheme="minorHAnsi"/>
                <w:sz w:val="18"/>
                <w:szCs w:val="18"/>
              </w:rPr>
              <w:t>D</w:t>
            </w:r>
          </w:p>
        </w:tc>
      </w:tr>
      <w:tr w:rsidR="009202F8" w14:paraId="2A50AD01" w14:textId="77777777" w:rsidTr="003F7D78">
        <w:trPr>
          <w:trHeight w:val="576"/>
          <w:jc w:val="center"/>
        </w:trPr>
        <w:tc>
          <w:tcPr>
            <w:tcW w:w="533" w:type="dxa"/>
            <w:tcBorders>
              <w:top w:val="single" w:sz="4" w:space="0" w:color="000000"/>
              <w:left w:val="single" w:sz="4" w:space="0" w:color="000000"/>
              <w:bottom w:val="single" w:sz="4" w:space="0" w:color="000000"/>
              <w:right w:val="single" w:sz="4" w:space="0" w:color="000000"/>
            </w:tcBorders>
          </w:tcPr>
          <w:p w14:paraId="7C2CE082" w14:textId="77777777" w:rsidR="009202F8" w:rsidRDefault="009202F8" w:rsidP="000300E2">
            <w:pPr>
              <w:spacing w:line="259" w:lineRule="auto"/>
              <w:rPr>
                <w:rFonts w:ascii="Titillium Web" w:hAnsi="Titillium Web" w:cstheme="minorHAnsi"/>
                <w:sz w:val="18"/>
                <w:szCs w:val="18"/>
              </w:rPr>
            </w:pPr>
            <w:r>
              <w:rPr>
                <w:rFonts w:ascii="Titillium Web" w:hAnsi="Titillium Web" w:cstheme="minorHAnsi"/>
                <w:sz w:val="18"/>
                <w:szCs w:val="18"/>
              </w:rPr>
              <w:t>C3</w:t>
            </w:r>
          </w:p>
        </w:tc>
        <w:tc>
          <w:tcPr>
            <w:tcW w:w="7512" w:type="dxa"/>
            <w:tcBorders>
              <w:top w:val="single" w:sz="4" w:space="0" w:color="000000"/>
              <w:left w:val="single" w:sz="4" w:space="0" w:color="000000"/>
              <w:bottom w:val="single" w:sz="4" w:space="0" w:color="000000"/>
              <w:right w:val="single" w:sz="4" w:space="0" w:color="000000"/>
            </w:tcBorders>
          </w:tcPr>
          <w:p w14:paraId="60ADE697" w14:textId="77777777" w:rsidR="009202F8" w:rsidRPr="008F569D" w:rsidRDefault="009202F8" w:rsidP="000300E2">
            <w:pPr>
              <w:spacing w:line="259" w:lineRule="auto"/>
              <w:ind w:right="107"/>
              <w:rPr>
                <w:rFonts w:ascii="Titillium Web" w:hAnsi="Titillium Web" w:cstheme="minorHAnsi"/>
                <w:sz w:val="18"/>
                <w:szCs w:val="18"/>
              </w:rPr>
            </w:pPr>
            <w:r w:rsidRPr="008F569D">
              <w:rPr>
                <w:rFonts w:ascii="Titillium Web" w:hAnsi="Titillium Web" w:cstheme="minorHAnsi"/>
                <w:sz w:val="18"/>
                <w:szCs w:val="18"/>
              </w:rPr>
              <w:t>Qualifica del manutentore del verde</w:t>
            </w:r>
          </w:p>
          <w:p w14:paraId="0A74295E" w14:textId="77777777" w:rsidR="009202F8" w:rsidRPr="008F569D" w:rsidRDefault="009202F8" w:rsidP="000300E2">
            <w:pPr>
              <w:spacing w:line="259" w:lineRule="auto"/>
              <w:ind w:right="107"/>
              <w:rPr>
                <w:rFonts w:ascii="Titillium Web" w:hAnsi="Titillium Web" w:cstheme="minorHAnsi"/>
                <w:b/>
                <w:bCs/>
                <w:sz w:val="18"/>
                <w:szCs w:val="18"/>
              </w:rPr>
            </w:pPr>
            <w:r w:rsidRPr="008F569D">
              <w:rPr>
                <w:rFonts w:ascii="Titillium Web" w:hAnsi="Titillium Web" w:cstheme="minorHAnsi"/>
                <w:b/>
                <w:bCs/>
                <w:sz w:val="18"/>
                <w:szCs w:val="18"/>
              </w:rPr>
              <w:t>Titoli accademici superiori:</w:t>
            </w:r>
            <w:r w:rsidRPr="008F569D">
              <w:rPr>
                <w:rFonts w:ascii="Titillium Web" w:hAnsi="Titillium Web" w:cstheme="minorHAnsi"/>
                <w:sz w:val="18"/>
                <w:szCs w:val="18"/>
              </w:rPr>
              <w:t xml:space="preserve"> verrà assegnato un punteggio premiale se il manutentore del verde possiede lauree in </w:t>
            </w:r>
            <w:r w:rsidRPr="008F569D">
              <w:rPr>
                <w:rFonts w:ascii="Titillium Web" w:hAnsi="Titillium Web" w:cstheme="minorHAnsi"/>
                <w:bCs/>
                <w:sz w:val="18"/>
                <w:szCs w:val="18"/>
              </w:rPr>
              <w:t>Scienze Agrarie</w:t>
            </w:r>
            <w:r w:rsidRPr="008F569D">
              <w:rPr>
                <w:rFonts w:ascii="Titillium Web" w:hAnsi="Titillium Web" w:cstheme="minorHAnsi"/>
                <w:sz w:val="18"/>
                <w:szCs w:val="18"/>
              </w:rPr>
              <w:t xml:space="preserve">, </w:t>
            </w:r>
            <w:r w:rsidRPr="008F569D">
              <w:rPr>
                <w:rFonts w:ascii="Titillium Web" w:hAnsi="Titillium Web" w:cstheme="minorHAnsi"/>
                <w:bCs/>
                <w:sz w:val="18"/>
                <w:szCs w:val="18"/>
              </w:rPr>
              <w:t>Agrotecnica</w:t>
            </w:r>
            <w:r w:rsidRPr="008F569D">
              <w:rPr>
                <w:rFonts w:ascii="Titillium Web" w:hAnsi="Titillium Web" w:cstheme="minorHAnsi"/>
                <w:sz w:val="18"/>
                <w:szCs w:val="18"/>
              </w:rPr>
              <w:t xml:space="preserve"> o diplomi di Perito Agrario oltre al requisito di legge obbligatorio (attestato di </w:t>
            </w:r>
            <w:r w:rsidRPr="008F569D">
              <w:rPr>
                <w:rFonts w:ascii="Titillium Web" w:hAnsi="Titillium Web" w:cstheme="minorHAnsi"/>
                <w:b/>
                <w:bCs/>
                <w:sz w:val="18"/>
                <w:szCs w:val="18"/>
              </w:rPr>
              <w:t>qualifica professionale di "Manutentore del Verde"</w:t>
            </w:r>
            <w:r w:rsidRPr="008F569D">
              <w:rPr>
                <w:rFonts w:ascii="Titillium Web" w:hAnsi="Titillium Web" w:cstheme="minorHAnsi"/>
                <w:sz w:val="18"/>
                <w:szCs w:val="18"/>
              </w:rPr>
              <w:t xml:space="preserve"> ai sensi dell'</w:t>
            </w:r>
            <w:r w:rsidRPr="008F569D">
              <w:rPr>
                <w:rFonts w:ascii="Titillium Web" w:hAnsi="Titillium Web" w:cstheme="minorHAnsi"/>
                <w:b/>
                <w:bCs/>
                <w:sz w:val="18"/>
                <w:szCs w:val="18"/>
              </w:rPr>
              <w:t>art. 12 della Legge 154/2016)</w:t>
            </w:r>
          </w:p>
          <w:p w14:paraId="2563ADF4" w14:textId="77777777" w:rsidR="009202F8" w:rsidRPr="008F569D" w:rsidRDefault="009202F8" w:rsidP="000300E2">
            <w:pPr>
              <w:spacing w:line="259" w:lineRule="auto"/>
              <w:ind w:right="107"/>
              <w:rPr>
                <w:rFonts w:ascii="Titillium Web" w:hAnsi="Titillium Web" w:cstheme="minorHAnsi"/>
                <w:sz w:val="18"/>
                <w:szCs w:val="18"/>
              </w:rPr>
            </w:pPr>
            <w:r w:rsidRPr="008F569D">
              <w:rPr>
                <w:rFonts w:ascii="Titillium Web" w:hAnsi="Titillium Web" w:cstheme="minorHAnsi"/>
                <w:sz w:val="18"/>
                <w:szCs w:val="18"/>
              </w:rPr>
              <w:t>SI 6 punti</w:t>
            </w:r>
          </w:p>
          <w:p w14:paraId="7C1522F5" w14:textId="77777777" w:rsidR="009202F8" w:rsidRPr="00E6494F" w:rsidRDefault="009202F8" w:rsidP="000300E2">
            <w:pPr>
              <w:spacing w:line="259" w:lineRule="auto"/>
              <w:ind w:right="107"/>
              <w:rPr>
                <w:rFonts w:ascii="Titillium Web" w:hAnsi="Titillium Web" w:cstheme="minorHAnsi"/>
                <w:sz w:val="18"/>
                <w:szCs w:val="18"/>
                <w:highlight w:val="yellow"/>
              </w:rPr>
            </w:pPr>
            <w:r w:rsidRPr="008F569D">
              <w:rPr>
                <w:rFonts w:ascii="Titillium Web" w:hAnsi="Titillium Web" w:cstheme="minorHAnsi"/>
                <w:sz w:val="18"/>
                <w:szCs w:val="18"/>
              </w:rPr>
              <w:t>NO 0 punti</w:t>
            </w:r>
          </w:p>
        </w:tc>
        <w:tc>
          <w:tcPr>
            <w:tcW w:w="1979" w:type="dxa"/>
            <w:tcBorders>
              <w:top w:val="single" w:sz="4" w:space="0" w:color="000000"/>
              <w:left w:val="single" w:sz="4" w:space="0" w:color="000000"/>
              <w:bottom w:val="single" w:sz="4" w:space="0" w:color="000000"/>
              <w:right w:val="single" w:sz="4" w:space="0" w:color="000000"/>
            </w:tcBorders>
            <w:vAlign w:val="center"/>
          </w:tcPr>
          <w:p w14:paraId="51EB0F7B" w14:textId="77777777" w:rsidR="009202F8" w:rsidRPr="008F569D" w:rsidRDefault="009202F8" w:rsidP="000300E2">
            <w:pPr>
              <w:spacing w:line="259" w:lineRule="auto"/>
              <w:jc w:val="center"/>
              <w:rPr>
                <w:rFonts w:ascii="Titillium Web" w:hAnsi="Titillium Web" w:cstheme="minorHAnsi"/>
                <w:sz w:val="18"/>
                <w:szCs w:val="18"/>
              </w:rPr>
            </w:pPr>
            <w:r>
              <w:rPr>
                <w:rFonts w:ascii="Titillium Web" w:hAnsi="Titillium Web" w:cstheme="minorHAnsi"/>
                <w:sz w:val="18"/>
                <w:szCs w:val="18"/>
              </w:rPr>
              <w:t xml:space="preserve">6 </w:t>
            </w:r>
            <w:r w:rsidRPr="008F569D">
              <w:rPr>
                <w:rFonts w:ascii="Titillium Web" w:hAnsi="Titillium Web" w:cstheme="minorHAnsi"/>
                <w:sz w:val="18"/>
                <w:szCs w:val="18"/>
              </w:rPr>
              <w:t>punti</w:t>
            </w:r>
          </w:p>
          <w:p w14:paraId="41BDD2E7" w14:textId="77777777" w:rsidR="009202F8" w:rsidRDefault="009202F8" w:rsidP="000300E2">
            <w:pPr>
              <w:spacing w:line="259" w:lineRule="auto"/>
              <w:jc w:val="center"/>
              <w:rPr>
                <w:rFonts w:ascii="Titillium Web" w:hAnsi="Titillium Web" w:cstheme="minorHAnsi"/>
                <w:sz w:val="18"/>
                <w:szCs w:val="18"/>
              </w:rPr>
            </w:pPr>
            <w:r w:rsidRPr="008F569D">
              <w:rPr>
                <w:rFonts w:ascii="Titillium Web" w:hAnsi="Titillium Web" w:cstheme="minorHAnsi"/>
                <w:sz w:val="18"/>
                <w:szCs w:val="18"/>
              </w:rPr>
              <w:t>T</w:t>
            </w:r>
          </w:p>
        </w:tc>
      </w:tr>
      <w:tr w:rsidR="009202F8" w14:paraId="476E82DE" w14:textId="77777777" w:rsidTr="003F7D78">
        <w:trPr>
          <w:trHeight w:val="446"/>
          <w:jc w:val="center"/>
        </w:trPr>
        <w:tc>
          <w:tcPr>
            <w:tcW w:w="533" w:type="dxa"/>
            <w:tcBorders>
              <w:top w:val="single" w:sz="4" w:space="0" w:color="000000"/>
              <w:left w:val="single" w:sz="4" w:space="0" w:color="000000"/>
              <w:bottom w:val="single" w:sz="4" w:space="0" w:color="000000"/>
              <w:right w:val="single" w:sz="4" w:space="0" w:color="000000"/>
            </w:tcBorders>
            <w:shd w:val="clear" w:color="auto" w:fill="CBD3DE" w:themeFill="text2" w:themeFillTint="40"/>
          </w:tcPr>
          <w:p w14:paraId="7409C4F8" w14:textId="77777777" w:rsidR="009202F8" w:rsidRDefault="009202F8" w:rsidP="000300E2">
            <w:pPr>
              <w:spacing w:line="259" w:lineRule="auto"/>
              <w:rPr>
                <w:rFonts w:ascii="Titillium Web" w:hAnsi="Titillium Web" w:cstheme="minorHAnsi"/>
                <w:sz w:val="18"/>
                <w:szCs w:val="18"/>
              </w:rPr>
            </w:pPr>
            <w:r>
              <w:rPr>
                <w:rFonts w:ascii="Titillium Web" w:hAnsi="Titillium Web" w:cstheme="minorHAnsi"/>
                <w:sz w:val="18"/>
                <w:szCs w:val="18"/>
              </w:rPr>
              <w:t>D</w:t>
            </w:r>
          </w:p>
        </w:tc>
        <w:tc>
          <w:tcPr>
            <w:tcW w:w="7512" w:type="dxa"/>
            <w:tcBorders>
              <w:top w:val="single" w:sz="4" w:space="0" w:color="000000"/>
              <w:left w:val="single" w:sz="4" w:space="0" w:color="000000"/>
              <w:bottom w:val="single" w:sz="4" w:space="0" w:color="auto"/>
              <w:right w:val="single" w:sz="4" w:space="0" w:color="000000"/>
            </w:tcBorders>
            <w:shd w:val="clear" w:color="auto" w:fill="CBD3DE" w:themeFill="text2" w:themeFillTint="40"/>
          </w:tcPr>
          <w:p w14:paraId="35D6547B" w14:textId="77777777" w:rsidR="009202F8" w:rsidRPr="006C108B" w:rsidRDefault="009202F8" w:rsidP="000300E2">
            <w:pPr>
              <w:spacing w:line="259" w:lineRule="auto"/>
              <w:ind w:right="107"/>
              <w:rPr>
                <w:rFonts w:ascii="Titillium Web" w:hAnsi="Titillium Web" w:cstheme="minorHAnsi"/>
                <w:sz w:val="18"/>
                <w:szCs w:val="18"/>
              </w:rPr>
            </w:pPr>
            <w:r>
              <w:rPr>
                <w:rFonts w:ascii="Titillium Web" w:hAnsi="Titillium Web" w:cstheme="minorHAnsi"/>
                <w:sz w:val="18"/>
                <w:szCs w:val="18"/>
              </w:rPr>
              <w:t>Sostenibilità ambientale</w:t>
            </w:r>
          </w:p>
        </w:tc>
        <w:tc>
          <w:tcPr>
            <w:tcW w:w="1979" w:type="dxa"/>
            <w:tcBorders>
              <w:top w:val="single" w:sz="4" w:space="0" w:color="000000"/>
              <w:left w:val="single" w:sz="4" w:space="0" w:color="000000"/>
              <w:bottom w:val="single" w:sz="4" w:space="0" w:color="000000"/>
              <w:right w:val="single" w:sz="4" w:space="0" w:color="000000"/>
            </w:tcBorders>
            <w:shd w:val="clear" w:color="auto" w:fill="CBD3DE" w:themeFill="text2" w:themeFillTint="40"/>
            <w:vAlign w:val="center"/>
          </w:tcPr>
          <w:p w14:paraId="7A73CC38" w14:textId="77777777" w:rsidR="009202F8" w:rsidRDefault="009202F8" w:rsidP="000300E2">
            <w:pPr>
              <w:spacing w:line="259" w:lineRule="auto"/>
              <w:jc w:val="center"/>
              <w:rPr>
                <w:rFonts w:ascii="Titillium Web" w:hAnsi="Titillium Web" w:cstheme="minorHAnsi"/>
                <w:sz w:val="18"/>
                <w:szCs w:val="18"/>
              </w:rPr>
            </w:pPr>
            <w:r>
              <w:rPr>
                <w:rFonts w:ascii="Titillium Web" w:hAnsi="Titillium Web" w:cstheme="minorHAnsi"/>
                <w:sz w:val="18"/>
                <w:szCs w:val="18"/>
              </w:rPr>
              <w:t>10</w:t>
            </w:r>
          </w:p>
        </w:tc>
      </w:tr>
      <w:tr w:rsidR="009202F8" w14:paraId="32DC09A8" w14:textId="77777777" w:rsidTr="003F7D78">
        <w:trPr>
          <w:trHeight w:val="576"/>
          <w:jc w:val="center"/>
        </w:trPr>
        <w:tc>
          <w:tcPr>
            <w:tcW w:w="533" w:type="dxa"/>
            <w:tcBorders>
              <w:top w:val="single" w:sz="4" w:space="0" w:color="000000"/>
              <w:left w:val="single" w:sz="4" w:space="0" w:color="000000"/>
              <w:bottom w:val="single" w:sz="4" w:space="0" w:color="000000"/>
              <w:right w:val="single" w:sz="4" w:space="0" w:color="auto"/>
            </w:tcBorders>
          </w:tcPr>
          <w:p w14:paraId="759F68AB" w14:textId="77777777" w:rsidR="009202F8" w:rsidRDefault="009202F8" w:rsidP="000300E2">
            <w:pPr>
              <w:spacing w:line="259" w:lineRule="auto"/>
              <w:rPr>
                <w:rFonts w:ascii="Titillium Web" w:hAnsi="Titillium Web" w:cstheme="minorHAnsi"/>
                <w:sz w:val="18"/>
                <w:szCs w:val="18"/>
              </w:rPr>
            </w:pPr>
            <w:r>
              <w:rPr>
                <w:rFonts w:ascii="Titillium Web" w:hAnsi="Titillium Web" w:cstheme="minorHAnsi"/>
                <w:sz w:val="18"/>
                <w:szCs w:val="18"/>
              </w:rPr>
              <w:t>D1</w:t>
            </w:r>
          </w:p>
        </w:tc>
        <w:tc>
          <w:tcPr>
            <w:tcW w:w="7512" w:type="dxa"/>
            <w:tcBorders>
              <w:top w:val="single" w:sz="4" w:space="0" w:color="auto"/>
              <w:left w:val="single" w:sz="4" w:space="0" w:color="auto"/>
              <w:bottom w:val="single" w:sz="4" w:space="0" w:color="auto"/>
              <w:right w:val="single" w:sz="4" w:space="0" w:color="auto"/>
            </w:tcBorders>
            <w:vAlign w:val="center"/>
          </w:tcPr>
          <w:p w14:paraId="7F7F6925" w14:textId="77777777" w:rsidR="009202F8" w:rsidRDefault="009202F8" w:rsidP="000300E2">
            <w:pPr>
              <w:spacing w:line="259" w:lineRule="auto"/>
              <w:ind w:right="107"/>
              <w:rPr>
                <w:rFonts w:ascii="Titillium Web" w:hAnsi="Titillium Web" w:cstheme="minorHAnsi"/>
                <w:sz w:val="18"/>
                <w:szCs w:val="18"/>
              </w:rPr>
            </w:pPr>
            <w:r w:rsidRPr="00096C4D">
              <w:rPr>
                <w:rFonts w:ascii="Titillium Web" w:hAnsi="Titillium Web" w:cstheme="minorHAnsi"/>
                <w:sz w:val="18"/>
                <w:szCs w:val="18"/>
              </w:rPr>
              <w:t>Piano di gestione e raccolta differenziata dei rifiuti nei giorni di gara</w:t>
            </w:r>
          </w:p>
        </w:tc>
        <w:tc>
          <w:tcPr>
            <w:tcW w:w="1979" w:type="dxa"/>
            <w:tcBorders>
              <w:top w:val="single" w:sz="4" w:space="0" w:color="000000"/>
              <w:left w:val="single" w:sz="4" w:space="0" w:color="auto"/>
              <w:bottom w:val="single" w:sz="4" w:space="0" w:color="000000"/>
              <w:right w:val="single" w:sz="4" w:space="0" w:color="000000"/>
            </w:tcBorders>
            <w:vAlign w:val="center"/>
          </w:tcPr>
          <w:p w14:paraId="2AF31F57" w14:textId="77777777" w:rsidR="009202F8" w:rsidRDefault="009202F8" w:rsidP="000300E2">
            <w:pPr>
              <w:spacing w:line="259" w:lineRule="auto"/>
              <w:jc w:val="center"/>
              <w:rPr>
                <w:rFonts w:ascii="Titillium Web" w:hAnsi="Titillium Web" w:cstheme="minorHAnsi"/>
                <w:sz w:val="18"/>
                <w:szCs w:val="18"/>
              </w:rPr>
            </w:pPr>
            <w:r>
              <w:rPr>
                <w:rFonts w:ascii="Titillium Web" w:hAnsi="Titillium Web" w:cstheme="minorHAnsi"/>
                <w:sz w:val="18"/>
                <w:szCs w:val="18"/>
              </w:rPr>
              <w:t>5</w:t>
            </w:r>
          </w:p>
          <w:p w14:paraId="55F1A88D" w14:textId="4C0618A8" w:rsidR="005E0847" w:rsidRDefault="005E0847" w:rsidP="000300E2">
            <w:pPr>
              <w:spacing w:line="259" w:lineRule="auto"/>
              <w:jc w:val="center"/>
              <w:rPr>
                <w:rFonts w:ascii="Titillium Web" w:hAnsi="Titillium Web" w:cstheme="minorHAnsi"/>
                <w:sz w:val="18"/>
                <w:szCs w:val="18"/>
              </w:rPr>
            </w:pPr>
            <w:r>
              <w:rPr>
                <w:rFonts w:ascii="Titillium Web" w:hAnsi="Titillium Web" w:cstheme="minorHAnsi"/>
                <w:sz w:val="18"/>
                <w:szCs w:val="18"/>
              </w:rPr>
              <w:t>D</w:t>
            </w:r>
          </w:p>
        </w:tc>
      </w:tr>
      <w:tr w:rsidR="009202F8" w14:paraId="5051CEF3" w14:textId="77777777" w:rsidTr="003F7D78">
        <w:trPr>
          <w:trHeight w:val="576"/>
          <w:jc w:val="center"/>
        </w:trPr>
        <w:tc>
          <w:tcPr>
            <w:tcW w:w="533" w:type="dxa"/>
            <w:tcBorders>
              <w:top w:val="single" w:sz="4" w:space="0" w:color="000000"/>
              <w:left w:val="single" w:sz="4" w:space="0" w:color="000000"/>
              <w:bottom w:val="single" w:sz="4" w:space="0" w:color="auto"/>
              <w:right w:val="single" w:sz="4" w:space="0" w:color="auto"/>
            </w:tcBorders>
          </w:tcPr>
          <w:p w14:paraId="3E6B431B" w14:textId="77777777" w:rsidR="009202F8" w:rsidRDefault="009202F8" w:rsidP="000300E2">
            <w:pPr>
              <w:spacing w:line="259" w:lineRule="auto"/>
              <w:rPr>
                <w:rFonts w:ascii="Titillium Web" w:hAnsi="Titillium Web" w:cstheme="minorHAnsi"/>
                <w:sz w:val="18"/>
                <w:szCs w:val="18"/>
              </w:rPr>
            </w:pPr>
            <w:r>
              <w:rPr>
                <w:rFonts w:ascii="Titillium Web" w:hAnsi="Titillium Web" w:cstheme="minorHAnsi"/>
                <w:sz w:val="18"/>
                <w:szCs w:val="18"/>
              </w:rPr>
              <w:t>D2</w:t>
            </w:r>
          </w:p>
        </w:tc>
        <w:tc>
          <w:tcPr>
            <w:tcW w:w="7512" w:type="dxa"/>
            <w:tcBorders>
              <w:top w:val="single" w:sz="4" w:space="0" w:color="auto"/>
              <w:left w:val="single" w:sz="4" w:space="0" w:color="auto"/>
              <w:bottom w:val="single" w:sz="4" w:space="0" w:color="auto"/>
              <w:right w:val="single" w:sz="4" w:space="0" w:color="auto"/>
            </w:tcBorders>
            <w:vAlign w:val="center"/>
          </w:tcPr>
          <w:p w14:paraId="33FA2AD1" w14:textId="77777777" w:rsidR="009202F8" w:rsidRPr="00096C4D" w:rsidRDefault="009202F8" w:rsidP="000300E2">
            <w:pPr>
              <w:spacing w:line="259" w:lineRule="auto"/>
              <w:ind w:right="107"/>
              <w:rPr>
                <w:rFonts w:ascii="Titillium Web" w:hAnsi="Titillium Web" w:cstheme="minorHAnsi"/>
                <w:sz w:val="18"/>
                <w:szCs w:val="18"/>
              </w:rPr>
            </w:pPr>
            <w:r w:rsidRPr="00096C4D">
              <w:rPr>
                <w:rFonts w:ascii="Titillium Web" w:hAnsi="Titillium Web" w:cstheme="minorHAnsi"/>
                <w:sz w:val="18"/>
                <w:szCs w:val="18"/>
              </w:rPr>
              <w:t>Impiego di concimi biologici e detergenti ecologici certificati</w:t>
            </w:r>
          </w:p>
          <w:p w14:paraId="1F495CC2" w14:textId="77777777" w:rsidR="009202F8" w:rsidRPr="00096C4D" w:rsidRDefault="009202F8" w:rsidP="000300E2">
            <w:pPr>
              <w:spacing w:line="259" w:lineRule="auto"/>
              <w:ind w:right="107"/>
              <w:rPr>
                <w:rFonts w:ascii="Titillium Web" w:hAnsi="Titillium Web" w:cstheme="minorHAnsi"/>
                <w:sz w:val="18"/>
                <w:szCs w:val="18"/>
              </w:rPr>
            </w:pPr>
            <w:r w:rsidRPr="00096C4D">
              <w:rPr>
                <w:rFonts w:ascii="Titillium Web" w:hAnsi="Titillium Web" w:cstheme="minorHAnsi"/>
                <w:sz w:val="18"/>
                <w:szCs w:val="18"/>
              </w:rPr>
              <w:t>SI 5 punti</w:t>
            </w:r>
          </w:p>
          <w:p w14:paraId="5C78473B" w14:textId="77777777" w:rsidR="009202F8" w:rsidRDefault="009202F8" w:rsidP="000300E2">
            <w:pPr>
              <w:spacing w:line="259" w:lineRule="auto"/>
              <w:ind w:right="107"/>
              <w:rPr>
                <w:rFonts w:ascii="Titillium Web" w:hAnsi="Titillium Web" w:cstheme="minorHAnsi"/>
                <w:sz w:val="18"/>
                <w:szCs w:val="18"/>
              </w:rPr>
            </w:pPr>
            <w:r w:rsidRPr="00096C4D">
              <w:rPr>
                <w:rFonts w:ascii="Titillium Web" w:hAnsi="Titillium Web" w:cstheme="minorHAnsi"/>
                <w:sz w:val="18"/>
                <w:szCs w:val="18"/>
              </w:rPr>
              <w:t>NO 0 punti</w:t>
            </w:r>
          </w:p>
        </w:tc>
        <w:tc>
          <w:tcPr>
            <w:tcW w:w="1979" w:type="dxa"/>
            <w:tcBorders>
              <w:top w:val="single" w:sz="4" w:space="0" w:color="000000"/>
              <w:left w:val="single" w:sz="4" w:space="0" w:color="auto"/>
              <w:bottom w:val="single" w:sz="4" w:space="0" w:color="000000"/>
              <w:right w:val="single" w:sz="4" w:space="0" w:color="000000"/>
            </w:tcBorders>
            <w:vAlign w:val="center"/>
          </w:tcPr>
          <w:p w14:paraId="0D518A96" w14:textId="77777777" w:rsidR="009202F8" w:rsidRDefault="009202F8" w:rsidP="000300E2">
            <w:pPr>
              <w:spacing w:line="259" w:lineRule="auto"/>
              <w:jc w:val="center"/>
              <w:rPr>
                <w:rFonts w:ascii="Titillium Web" w:hAnsi="Titillium Web" w:cstheme="minorHAnsi"/>
                <w:sz w:val="18"/>
                <w:szCs w:val="18"/>
              </w:rPr>
            </w:pPr>
            <w:r>
              <w:rPr>
                <w:rFonts w:ascii="Titillium Web" w:hAnsi="Titillium Web" w:cstheme="minorHAnsi"/>
                <w:sz w:val="18"/>
                <w:szCs w:val="18"/>
              </w:rPr>
              <w:t>5 punti</w:t>
            </w:r>
          </w:p>
          <w:p w14:paraId="0C3E6267" w14:textId="77777777" w:rsidR="009202F8" w:rsidRDefault="009202F8" w:rsidP="000300E2">
            <w:pPr>
              <w:spacing w:line="259" w:lineRule="auto"/>
              <w:jc w:val="center"/>
              <w:rPr>
                <w:rFonts w:ascii="Titillium Web" w:hAnsi="Titillium Web" w:cstheme="minorHAnsi"/>
                <w:sz w:val="18"/>
                <w:szCs w:val="18"/>
              </w:rPr>
            </w:pPr>
            <w:r>
              <w:rPr>
                <w:rFonts w:ascii="Titillium Web" w:hAnsi="Titillium Web" w:cstheme="minorHAnsi"/>
                <w:sz w:val="18"/>
                <w:szCs w:val="18"/>
              </w:rPr>
              <w:t>T</w:t>
            </w:r>
          </w:p>
        </w:tc>
      </w:tr>
      <w:tr w:rsidR="009202F8" w14:paraId="5AA02866" w14:textId="77777777" w:rsidTr="003F7D78">
        <w:trPr>
          <w:trHeight w:val="464"/>
          <w:jc w:val="center"/>
        </w:trPr>
        <w:tc>
          <w:tcPr>
            <w:tcW w:w="533" w:type="dxa"/>
            <w:tcBorders>
              <w:top w:val="single" w:sz="4" w:space="0" w:color="auto"/>
              <w:left w:val="single" w:sz="4" w:space="0" w:color="auto"/>
              <w:bottom w:val="single" w:sz="4" w:space="0" w:color="auto"/>
              <w:right w:val="single" w:sz="4" w:space="0" w:color="auto"/>
            </w:tcBorders>
            <w:shd w:val="clear" w:color="auto" w:fill="CBD3DE" w:themeFill="text2" w:themeFillTint="40"/>
          </w:tcPr>
          <w:p w14:paraId="6D7D2FB1" w14:textId="77777777" w:rsidR="009202F8" w:rsidRDefault="009202F8" w:rsidP="000300E2">
            <w:pPr>
              <w:spacing w:line="259" w:lineRule="auto"/>
              <w:rPr>
                <w:rFonts w:ascii="Titillium Web" w:hAnsi="Titillium Web" w:cstheme="minorHAnsi"/>
                <w:sz w:val="18"/>
                <w:szCs w:val="18"/>
              </w:rPr>
            </w:pPr>
            <w:r>
              <w:rPr>
                <w:rFonts w:ascii="Titillium Web" w:hAnsi="Titillium Web" w:cstheme="minorHAnsi"/>
                <w:sz w:val="18"/>
                <w:szCs w:val="18"/>
              </w:rPr>
              <w:t>E</w:t>
            </w:r>
          </w:p>
        </w:tc>
        <w:tc>
          <w:tcPr>
            <w:tcW w:w="7512" w:type="dxa"/>
            <w:tcBorders>
              <w:top w:val="single" w:sz="4" w:space="0" w:color="auto"/>
              <w:left w:val="single" w:sz="4" w:space="0" w:color="auto"/>
              <w:bottom w:val="single" w:sz="4" w:space="0" w:color="auto"/>
              <w:right w:val="single" w:sz="4" w:space="0" w:color="auto"/>
            </w:tcBorders>
            <w:shd w:val="clear" w:color="auto" w:fill="CBD3DE" w:themeFill="text2" w:themeFillTint="40"/>
            <w:vAlign w:val="center"/>
          </w:tcPr>
          <w:p w14:paraId="769B9D52" w14:textId="77777777" w:rsidR="009202F8" w:rsidRPr="00096C4D" w:rsidRDefault="009202F8" w:rsidP="000300E2">
            <w:pPr>
              <w:spacing w:line="259" w:lineRule="auto"/>
              <w:ind w:right="107"/>
              <w:jc w:val="left"/>
              <w:rPr>
                <w:rFonts w:ascii="Titillium Web" w:hAnsi="Titillium Web" w:cstheme="minorHAnsi"/>
                <w:sz w:val="18"/>
                <w:szCs w:val="18"/>
              </w:rPr>
            </w:pPr>
            <w:r>
              <w:rPr>
                <w:rFonts w:ascii="Titillium Web" w:hAnsi="Titillium Web" w:cstheme="minorHAnsi"/>
                <w:sz w:val="18"/>
                <w:szCs w:val="18"/>
              </w:rPr>
              <w:t>Migliorie</w:t>
            </w:r>
          </w:p>
        </w:tc>
        <w:tc>
          <w:tcPr>
            <w:tcW w:w="1979" w:type="dxa"/>
            <w:tcBorders>
              <w:top w:val="single" w:sz="4" w:space="0" w:color="000000"/>
              <w:left w:val="single" w:sz="4" w:space="0" w:color="auto"/>
              <w:bottom w:val="single" w:sz="4" w:space="0" w:color="000000"/>
              <w:right w:val="single" w:sz="4" w:space="0" w:color="000000"/>
            </w:tcBorders>
            <w:shd w:val="clear" w:color="auto" w:fill="CBD3DE" w:themeFill="text2" w:themeFillTint="40"/>
            <w:vAlign w:val="center"/>
          </w:tcPr>
          <w:p w14:paraId="4AEF5517" w14:textId="77777777" w:rsidR="009202F8" w:rsidRDefault="009202F8" w:rsidP="000300E2">
            <w:pPr>
              <w:spacing w:line="259" w:lineRule="auto"/>
              <w:jc w:val="center"/>
              <w:rPr>
                <w:rFonts w:ascii="Titillium Web" w:hAnsi="Titillium Web" w:cstheme="minorHAnsi"/>
                <w:sz w:val="18"/>
                <w:szCs w:val="18"/>
              </w:rPr>
            </w:pPr>
            <w:r>
              <w:rPr>
                <w:rFonts w:ascii="Titillium Web" w:hAnsi="Titillium Web" w:cstheme="minorHAnsi"/>
                <w:sz w:val="18"/>
                <w:szCs w:val="18"/>
              </w:rPr>
              <w:t>9 punti</w:t>
            </w:r>
          </w:p>
        </w:tc>
      </w:tr>
      <w:tr w:rsidR="009202F8" w:rsidRPr="005849BB" w14:paraId="56527AE7" w14:textId="77777777" w:rsidTr="003F7D78">
        <w:trPr>
          <w:trHeight w:val="836"/>
          <w:jc w:val="center"/>
        </w:trPr>
        <w:tc>
          <w:tcPr>
            <w:tcW w:w="533" w:type="dxa"/>
            <w:tcBorders>
              <w:top w:val="single" w:sz="4" w:space="0" w:color="auto"/>
              <w:left w:val="single" w:sz="4" w:space="0" w:color="000000"/>
              <w:bottom w:val="single" w:sz="4" w:space="0" w:color="000000"/>
              <w:right w:val="single" w:sz="4" w:space="0" w:color="000000"/>
            </w:tcBorders>
            <w:shd w:val="clear" w:color="auto" w:fill="auto"/>
          </w:tcPr>
          <w:p w14:paraId="4D3AB11D" w14:textId="77777777" w:rsidR="009202F8" w:rsidRPr="005849BB" w:rsidRDefault="009202F8" w:rsidP="000300E2">
            <w:pPr>
              <w:spacing w:line="259" w:lineRule="auto"/>
              <w:rPr>
                <w:rFonts w:ascii="Titillium Web" w:hAnsi="Titillium Web" w:cstheme="minorHAnsi"/>
                <w:sz w:val="18"/>
                <w:szCs w:val="18"/>
              </w:rPr>
            </w:pPr>
          </w:p>
        </w:tc>
        <w:tc>
          <w:tcPr>
            <w:tcW w:w="7512" w:type="dxa"/>
            <w:tcBorders>
              <w:top w:val="single" w:sz="4" w:space="0" w:color="auto"/>
              <w:left w:val="single" w:sz="4" w:space="0" w:color="000000"/>
              <w:bottom w:val="single" w:sz="4" w:space="0" w:color="000000"/>
              <w:right w:val="single" w:sz="4" w:space="0" w:color="000000"/>
            </w:tcBorders>
            <w:shd w:val="clear" w:color="auto" w:fill="auto"/>
          </w:tcPr>
          <w:p w14:paraId="5FA97A21" w14:textId="77777777" w:rsidR="009202F8" w:rsidRPr="005849BB" w:rsidRDefault="009202F8" w:rsidP="000300E2">
            <w:pPr>
              <w:spacing w:line="259" w:lineRule="auto"/>
              <w:ind w:left="2" w:right="106"/>
              <w:rPr>
                <w:rFonts w:ascii="Titillium Web" w:hAnsi="Titillium Web" w:cstheme="minorHAnsi"/>
                <w:sz w:val="18"/>
                <w:szCs w:val="18"/>
              </w:rPr>
            </w:pPr>
            <w:r w:rsidRPr="005849BB">
              <w:rPr>
                <w:rFonts w:ascii="Titillium Web" w:hAnsi="Titillium Web" w:cstheme="minorHAnsi"/>
                <w:sz w:val="18"/>
                <w:szCs w:val="18"/>
              </w:rPr>
              <w:t>L’operatore dovrà indicare eventuali migliorie che intende apportare all’impianto. Le migliorie e gli interventi tecnici proposti sono realizzati a cura e spese del proponente, compresi gli adempimenti per l’ottenimento di eventuali   autorizzazioni per l’esecuzione di interventi e i relativi collaudi; al termine dell</w:t>
            </w:r>
            <w:r>
              <w:rPr>
                <w:rFonts w:ascii="Titillium Web" w:hAnsi="Titillium Web" w:cstheme="minorHAnsi"/>
                <w:sz w:val="18"/>
                <w:szCs w:val="18"/>
              </w:rPr>
              <w:t>’appalto</w:t>
            </w:r>
            <w:r w:rsidRPr="005849BB">
              <w:rPr>
                <w:rFonts w:ascii="Titillium Web" w:hAnsi="Titillium Web" w:cstheme="minorHAnsi"/>
                <w:sz w:val="18"/>
                <w:szCs w:val="18"/>
              </w:rPr>
              <w:t xml:space="preserve">, diventeranno automaticamente di proprietà del Comune di </w:t>
            </w:r>
            <w:r>
              <w:rPr>
                <w:rFonts w:ascii="Titillium Web" w:hAnsi="Titillium Web" w:cstheme="minorHAnsi"/>
                <w:sz w:val="18"/>
                <w:szCs w:val="18"/>
              </w:rPr>
              <w:t>Castel San Giovanni</w:t>
            </w:r>
            <w:r w:rsidRPr="005849BB">
              <w:rPr>
                <w:rFonts w:ascii="Titillium Web" w:hAnsi="Titillium Web" w:cstheme="minorHAnsi"/>
                <w:sz w:val="18"/>
                <w:szCs w:val="18"/>
              </w:rPr>
              <w:t xml:space="preserve"> e il richiedente non potrà in alcun modo pretenderne la restituzione o il rimborso. I </w:t>
            </w:r>
            <w:r w:rsidRPr="005849BB">
              <w:rPr>
                <w:rFonts w:ascii="Titillium Web" w:hAnsi="Titillium Web" w:cstheme="minorHAnsi"/>
                <w:sz w:val="18"/>
                <w:szCs w:val="18"/>
              </w:rPr>
              <w:lastRenderedPageBreak/>
              <w:t>miglioramenti potranno riguardare, a titolo esemplificativo e non esaustivo, la struttura, le attrezzature, l’impiantistica, gli spogliatoi, in relazione ad esempio all’efficientamento e al risparmio energetico.</w:t>
            </w:r>
            <w:r>
              <w:rPr>
                <w:rFonts w:ascii="Titillium Web" w:hAnsi="Titillium Web" w:cstheme="minorHAnsi"/>
                <w:sz w:val="18"/>
                <w:szCs w:val="18"/>
              </w:rPr>
              <w:t xml:space="preserve"> Saranno valutate solo le seguenti migliorie proposte:</w:t>
            </w:r>
          </w:p>
        </w:tc>
        <w:tc>
          <w:tcPr>
            <w:tcW w:w="19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F209B" w14:textId="77777777" w:rsidR="009202F8" w:rsidRPr="005849BB" w:rsidRDefault="009202F8" w:rsidP="000300E2">
            <w:pPr>
              <w:spacing w:line="259" w:lineRule="auto"/>
              <w:ind w:left="2"/>
              <w:jc w:val="center"/>
              <w:rPr>
                <w:rFonts w:ascii="Titillium Web" w:hAnsi="Titillium Web" w:cstheme="minorHAnsi"/>
                <w:sz w:val="18"/>
                <w:szCs w:val="18"/>
              </w:rPr>
            </w:pPr>
          </w:p>
        </w:tc>
      </w:tr>
      <w:tr w:rsidR="009202F8" w:rsidRPr="005849BB" w14:paraId="0ADCF7AB" w14:textId="77777777" w:rsidTr="003F7D78">
        <w:trPr>
          <w:trHeight w:val="618"/>
          <w:jc w:val="center"/>
        </w:trPr>
        <w:tc>
          <w:tcPr>
            <w:tcW w:w="533" w:type="dxa"/>
            <w:tcBorders>
              <w:top w:val="single" w:sz="4" w:space="0" w:color="000000"/>
              <w:left w:val="single" w:sz="4" w:space="0" w:color="000000"/>
              <w:bottom w:val="single" w:sz="4" w:space="0" w:color="000000"/>
              <w:right w:val="single" w:sz="4" w:space="0" w:color="000000"/>
            </w:tcBorders>
            <w:shd w:val="clear" w:color="auto" w:fill="auto"/>
          </w:tcPr>
          <w:p w14:paraId="3541CA48" w14:textId="77777777" w:rsidR="009202F8" w:rsidRPr="005849BB" w:rsidRDefault="009202F8" w:rsidP="000300E2">
            <w:pPr>
              <w:spacing w:line="259" w:lineRule="auto"/>
              <w:rPr>
                <w:rFonts w:ascii="Titillium Web" w:hAnsi="Titillium Web" w:cstheme="minorHAnsi"/>
                <w:sz w:val="18"/>
                <w:szCs w:val="18"/>
              </w:rPr>
            </w:pPr>
            <w:r>
              <w:rPr>
                <w:rFonts w:ascii="Titillium Web" w:hAnsi="Titillium Web" w:cstheme="minorHAnsi"/>
                <w:sz w:val="18"/>
                <w:szCs w:val="18"/>
              </w:rPr>
              <w:t>E</w:t>
            </w:r>
            <w:r w:rsidRPr="005849BB">
              <w:rPr>
                <w:rFonts w:ascii="Titillium Web" w:hAnsi="Titillium Web" w:cstheme="minorHAnsi"/>
                <w:sz w:val="18"/>
                <w:szCs w:val="18"/>
              </w:rPr>
              <w:t>1</w:t>
            </w:r>
          </w:p>
        </w:tc>
        <w:tc>
          <w:tcPr>
            <w:tcW w:w="7512" w:type="dxa"/>
            <w:tcBorders>
              <w:top w:val="single" w:sz="4" w:space="0" w:color="000000"/>
              <w:left w:val="single" w:sz="4" w:space="0" w:color="000000"/>
              <w:bottom w:val="single" w:sz="4" w:space="0" w:color="000000"/>
              <w:right w:val="single" w:sz="4" w:space="0" w:color="000000"/>
            </w:tcBorders>
            <w:shd w:val="clear" w:color="auto" w:fill="auto"/>
          </w:tcPr>
          <w:p w14:paraId="37FA083E" w14:textId="49716684" w:rsidR="009202F8" w:rsidRPr="005E0847" w:rsidRDefault="009202F8" w:rsidP="000300E2">
            <w:pPr>
              <w:spacing w:line="259" w:lineRule="auto"/>
              <w:ind w:right="106"/>
              <w:rPr>
                <w:rFonts w:ascii="Titillium Web" w:hAnsi="Titillium Web" w:cstheme="minorHAnsi"/>
                <w:sz w:val="18"/>
                <w:szCs w:val="18"/>
              </w:rPr>
            </w:pPr>
            <w:r w:rsidRPr="005E0847">
              <w:rPr>
                <w:rFonts w:ascii="Titillium Web" w:hAnsi="Titillium Web" w:cstheme="minorHAnsi"/>
                <w:sz w:val="18"/>
                <w:szCs w:val="18"/>
              </w:rPr>
              <w:t xml:space="preserve">Fornitura arredi per spogliatoi (panche, </w:t>
            </w:r>
            <w:r w:rsidR="005E0847" w:rsidRPr="005E0847">
              <w:rPr>
                <w:rFonts w:ascii="Titillium Web" w:hAnsi="Titillium Web" w:cstheme="minorHAnsi"/>
                <w:sz w:val="18"/>
                <w:szCs w:val="18"/>
              </w:rPr>
              <w:t>attaccapanni, …</w:t>
            </w:r>
            <w:r w:rsidRPr="005E0847">
              <w:rPr>
                <w:rFonts w:ascii="Titillium Web" w:hAnsi="Titillium Web" w:cstheme="minorHAnsi"/>
                <w:sz w:val="18"/>
                <w:szCs w:val="18"/>
              </w:rPr>
              <w:t>)</w:t>
            </w:r>
          </w:p>
        </w:tc>
        <w:tc>
          <w:tcPr>
            <w:tcW w:w="19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B156F" w14:textId="77777777" w:rsidR="009202F8" w:rsidRDefault="009202F8" w:rsidP="000300E2">
            <w:pPr>
              <w:spacing w:line="259" w:lineRule="auto"/>
              <w:ind w:left="2"/>
              <w:jc w:val="center"/>
              <w:rPr>
                <w:rFonts w:ascii="Titillium Web" w:hAnsi="Titillium Web" w:cstheme="minorHAnsi"/>
                <w:sz w:val="18"/>
                <w:szCs w:val="18"/>
              </w:rPr>
            </w:pPr>
            <w:r>
              <w:rPr>
                <w:rFonts w:ascii="Titillium Web" w:hAnsi="Titillium Web" w:cstheme="minorHAnsi"/>
                <w:sz w:val="18"/>
                <w:szCs w:val="18"/>
              </w:rPr>
              <w:t>4</w:t>
            </w:r>
            <w:r w:rsidRPr="005849BB">
              <w:rPr>
                <w:rFonts w:ascii="Titillium Web" w:hAnsi="Titillium Web" w:cstheme="minorHAnsi"/>
                <w:sz w:val="18"/>
                <w:szCs w:val="18"/>
              </w:rPr>
              <w:t xml:space="preserve"> punti</w:t>
            </w:r>
          </w:p>
          <w:p w14:paraId="4011EDCF" w14:textId="77777777" w:rsidR="009202F8" w:rsidRPr="005849BB" w:rsidRDefault="009202F8" w:rsidP="000300E2">
            <w:pPr>
              <w:spacing w:line="259" w:lineRule="auto"/>
              <w:ind w:left="2"/>
              <w:jc w:val="center"/>
              <w:rPr>
                <w:rFonts w:ascii="Titillium Web" w:hAnsi="Titillium Web" w:cstheme="minorHAnsi"/>
                <w:sz w:val="18"/>
                <w:szCs w:val="18"/>
              </w:rPr>
            </w:pPr>
            <w:r>
              <w:rPr>
                <w:rFonts w:ascii="Titillium Web" w:hAnsi="Titillium Web" w:cstheme="minorHAnsi"/>
                <w:sz w:val="18"/>
                <w:szCs w:val="18"/>
              </w:rPr>
              <w:t>D</w:t>
            </w:r>
          </w:p>
        </w:tc>
      </w:tr>
      <w:tr w:rsidR="009202F8" w:rsidRPr="005849BB" w14:paraId="32B9A073" w14:textId="77777777" w:rsidTr="003F7D78">
        <w:trPr>
          <w:trHeight w:val="836"/>
          <w:jc w:val="center"/>
        </w:trPr>
        <w:tc>
          <w:tcPr>
            <w:tcW w:w="533" w:type="dxa"/>
            <w:tcBorders>
              <w:top w:val="single" w:sz="4" w:space="0" w:color="000000"/>
              <w:left w:val="single" w:sz="4" w:space="0" w:color="000000"/>
              <w:bottom w:val="single" w:sz="4" w:space="0" w:color="000000"/>
              <w:right w:val="single" w:sz="4" w:space="0" w:color="000000"/>
            </w:tcBorders>
            <w:shd w:val="clear" w:color="auto" w:fill="auto"/>
          </w:tcPr>
          <w:p w14:paraId="5A1609F3" w14:textId="77777777" w:rsidR="009202F8" w:rsidRPr="005849BB" w:rsidRDefault="009202F8" w:rsidP="000300E2">
            <w:pPr>
              <w:spacing w:line="259" w:lineRule="auto"/>
              <w:rPr>
                <w:rFonts w:ascii="Titillium Web" w:hAnsi="Titillium Web" w:cstheme="minorHAnsi"/>
                <w:sz w:val="18"/>
                <w:szCs w:val="18"/>
              </w:rPr>
            </w:pPr>
            <w:r>
              <w:rPr>
                <w:rFonts w:ascii="Titillium Web" w:hAnsi="Titillium Web" w:cstheme="minorHAnsi"/>
                <w:sz w:val="18"/>
                <w:szCs w:val="18"/>
              </w:rPr>
              <w:t>E</w:t>
            </w:r>
            <w:r w:rsidRPr="005849BB">
              <w:rPr>
                <w:rFonts w:ascii="Titillium Web" w:hAnsi="Titillium Web" w:cstheme="minorHAnsi"/>
                <w:sz w:val="18"/>
                <w:szCs w:val="18"/>
              </w:rPr>
              <w:t>2</w:t>
            </w:r>
          </w:p>
        </w:tc>
        <w:tc>
          <w:tcPr>
            <w:tcW w:w="7512" w:type="dxa"/>
            <w:tcBorders>
              <w:top w:val="single" w:sz="4" w:space="0" w:color="000000"/>
              <w:left w:val="single" w:sz="4" w:space="0" w:color="000000"/>
              <w:bottom w:val="single" w:sz="4" w:space="0" w:color="000000"/>
              <w:right w:val="single" w:sz="4" w:space="0" w:color="000000"/>
            </w:tcBorders>
            <w:shd w:val="clear" w:color="auto" w:fill="auto"/>
          </w:tcPr>
          <w:p w14:paraId="060652C9" w14:textId="0A0AEB39" w:rsidR="009202F8" w:rsidRPr="005E0847" w:rsidRDefault="009202F8" w:rsidP="00D51C36">
            <w:pPr>
              <w:spacing w:line="259" w:lineRule="auto"/>
              <w:ind w:right="106"/>
              <w:rPr>
                <w:rFonts w:ascii="Titillium Web" w:hAnsi="Titillium Web" w:cstheme="minorHAnsi"/>
                <w:sz w:val="18"/>
                <w:szCs w:val="18"/>
              </w:rPr>
            </w:pPr>
            <w:r w:rsidRPr="005E0847">
              <w:rPr>
                <w:rFonts w:ascii="Titillium Web" w:hAnsi="Titillium Web" w:cstheme="minorHAnsi"/>
                <w:sz w:val="18"/>
                <w:szCs w:val="18"/>
              </w:rPr>
              <w:t xml:space="preserve">Fornitura materiale sportivo per campo atletica leggera (materasso per salto in alto, </w:t>
            </w:r>
            <w:r w:rsidR="005E0847" w:rsidRPr="005E0847">
              <w:rPr>
                <w:rFonts w:ascii="Titillium Web" w:hAnsi="Titillium Web" w:cstheme="minorHAnsi"/>
                <w:sz w:val="18"/>
                <w:szCs w:val="18"/>
              </w:rPr>
              <w:t>ostacoli...</w:t>
            </w:r>
            <w:r w:rsidRPr="005E0847">
              <w:rPr>
                <w:rFonts w:ascii="Titillium Web" w:hAnsi="Titillium Web" w:cstheme="minorHAnsi"/>
                <w:sz w:val="18"/>
                <w:szCs w:val="18"/>
              </w:rPr>
              <w:t>)</w:t>
            </w:r>
          </w:p>
        </w:tc>
        <w:tc>
          <w:tcPr>
            <w:tcW w:w="19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2A004" w14:textId="77777777" w:rsidR="009202F8" w:rsidRDefault="009202F8" w:rsidP="000300E2">
            <w:pPr>
              <w:spacing w:line="259" w:lineRule="auto"/>
              <w:ind w:left="2"/>
              <w:jc w:val="center"/>
              <w:rPr>
                <w:rFonts w:ascii="Titillium Web" w:hAnsi="Titillium Web" w:cstheme="minorHAnsi"/>
                <w:sz w:val="18"/>
                <w:szCs w:val="18"/>
              </w:rPr>
            </w:pPr>
            <w:r>
              <w:rPr>
                <w:rFonts w:ascii="Titillium Web" w:hAnsi="Titillium Web" w:cstheme="minorHAnsi"/>
                <w:sz w:val="18"/>
                <w:szCs w:val="18"/>
              </w:rPr>
              <w:t>5</w:t>
            </w:r>
            <w:r w:rsidRPr="005849BB">
              <w:rPr>
                <w:rFonts w:ascii="Titillium Web" w:hAnsi="Titillium Web" w:cstheme="minorHAnsi"/>
                <w:sz w:val="18"/>
                <w:szCs w:val="18"/>
              </w:rPr>
              <w:t xml:space="preserve"> punti</w:t>
            </w:r>
          </w:p>
          <w:p w14:paraId="68E19FBA" w14:textId="77777777" w:rsidR="009202F8" w:rsidRPr="005849BB" w:rsidRDefault="009202F8" w:rsidP="000300E2">
            <w:pPr>
              <w:spacing w:line="259" w:lineRule="auto"/>
              <w:ind w:left="2"/>
              <w:jc w:val="center"/>
              <w:rPr>
                <w:rFonts w:ascii="Titillium Web" w:hAnsi="Titillium Web" w:cstheme="minorHAnsi"/>
                <w:sz w:val="18"/>
                <w:szCs w:val="18"/>
              </w:rPr>
            </w:pPr>
            <w:r>
              <w:rPr>
                <w:rFonts w:ascii="Titillium Web" w:hAnsi="Titillium Web" w:cstheme="minorHAnsi"/>
                <w:sz w:val="18"/>
                <w:szCs w:val="18"/>
              </w:rPr>
              <w:t>D</w:t>
            </w:r>
          </w:p>
        </w:tc>
      </w:tr>
      <w:tr w:rsidR="009202F8" w:rsidRPr="007E3AEA" w14:paraId="38A5C7E8" w14:textId="77777777" w:rsidTr="003F7D78">
        <w:trPr>
          <w:trHeight w:val="486"/>
          <w:jc w:val="center"/>
        </w:trPr>
        <w:tc>
          <w:tcPr>
            <w:tcW w:w="533" w:type="dxa"/>
            <w:tcBorders>
              <w:top w:val="single" w:sz="4" w:space="0" w:color="000000"/>
              <w:left w:val="single" w:sz="4" w:space="0" w:color="000000"/>
              <w:bottom w:val="single" w:sz="4" w:space="0" w:color="000000"/>
              <w:right w:val="single" w:sz="4" w:space="0" w:color="000000"/>
            </w:tcBorders>
            <w:shd w:val="clear" w:color="auto" w:fill="CBD3DE" w:themeFill="text2" w:themeFillTint="40"/>
            <w:vAlign w:val="center"/>
          </w:tcPr>
          <w:p w14:paraId="164D3B9D" w14:textId="77777777" w:rsidR="009202F8" w:rsidRPr="007E3AEA" w:rsidRDefault="009202F8" w:rsidP="000300E2">
            <w:pPr>
              <w:spacing w:line="259" w:lineRule="auto"/>
              <w:jc w:val="center"/>
              <w:rPr>
                <w:rFonts w:ascii="Titillium Web" w:hAnsi="Titillium Web" w:cstheme="minorHAnsi"/>
                <w:sz w:val="18"/>
                <w:szCs w:val="18"/>
              </w:rPr>
            </w:pPr>
            <w:r>
              <w:rPr>
                <w:rFonts w:ascii="Titillium Web" w:hAnsi="Titillium Web" w:cstheme="minorHAnsi"/>
                <w:sz w:val="18"/>
                <w:szCs w:val="18"/>
              </w:rPr>
              <w:t>F</w:t>
            </w:r>
          </w:p>
        </w:tc>
        <w:tc>
          <w:tcPr>
            <w:tcW w:w="7512" w:type="dxa"/>
            <w:tcBorders>
              <w:top w:val="single" w:sz="4" w:space="0" w:color="000000"/>
              <w:left w:val="single" w:sz="4" w:space="0" w:color="000000"/>
              <w:bottom w:val="single" w:sz="4" w:space="0" w:color="000000"/>
              <w:right w:val="single" w:sz="4" w:space="0" w:color="000000"/>
            </w:tcBorders>
            <w:shd w:val="clear" w:color="auto" w:fill="CBD3DE" w:themeFill="text2" w:themeFillTint="40"/>
            <w:vAlign w:val="center"/>
          </w:tcPr>
          <w:p w14:paraId="2BF4B5BA" w14:textId="77777777" w:rsidR="009202F8" w:rsidRPr="007E3AEA" w:rsidRDefault="009202F8" w:rsidP="000300E2">
            <w:pPr>
              <w:pStyle w:val="TableParagraph"/>
              <w:ind w:left="71" w:right="134"/>
              <w:rPr>
                <w:rFonts w:ascii="Titillium Web" w:eastAsia="Times New Roman" w:hAnsi="Titillium Web" w:cstheme="minorHAnsi"/>
                <w:kern w:val="0"/>
                <w:sz w:val="18"/>
                <w:szCs w:val="18"/>
                <w:lang w:eastAsia="it-IT"/>
              </w:rPr>
            </w:pPr>
            <w:r w:rsidRPr="007E3AEA">
              <w:rPr>
                <w:rFonts w:ascii="Titillium Web" w:eastAsia="Times New Roman" w:hAnsi="Titillium Web" w:cstheme="minorHAnsi"/>
                <w:kern w:val="0"/>
                <w:sz w:val="18"/>
                <w:szCs w:val="18"/>
                <w:lang w:eastAsia="it-IT"/>
              </w:rPr>
              <w:t>Possesso certificazione parità di genere</w:t>
            </w:r>
          </w:p>
        </w:tc>
        <w:tc>
          <w:tcPr>
            <w:tcW w:w="1979" w:type="dxa"/>
            <w:tcBorders>
              <w:top w:val="single" w:sz="4" w:space="0" w:color="000000"/>
              <w:left w:val="single" w:sz="4" w:space="0" w:color="000000"/>
              <w:bottom w:val="single" w:sz="4" w:space="0" w:color="000000"/>
              <w:right w:val="single" w:sz="4" w:space="0" w:color="000000"/>
            </w:tcBorders>
            <w:shd w:val="clear" w:color="auto" w:fill="CBD3DE" w:themeFill="text2" w:themeFillTint="40"/>
            <w:vAlign w:val="center"/>
          </w:tcPr>
          <w:p w14:paraId="65EC632E" w14:textId="77777777" w:rsidR="009202F8" w:rsidRPr="007E3AEA" w:rsidRDefault="009202F8" w:rsidP="000300E2">
            <w:pPr>
              <w:spacing w:line="259" w:lineRule="auto"/>
              <w:ind w:left="2"/>
              <w:jc w:val="center"/>
              <w:rPr>
                <w:rFonts w:ascii="Titillium Web" w:hAnsi="Titillium Web" w:cstheme="minorHAnsi"/>
                <w:sz w:val="18"/>
                <w:szCs w:val="18"/>
              </w:rPr>
            </w:pPr>
            <w:r>
              <w:rPr>
                <w:rFonts w:ascii="Titillium Web" w:hAnsi="Titillium Web" w:cstheme="minorHAnsi"/>
                <w:sz w:val="18"/>
                <w:szCs w:val="18"/>
              </w:rPr>
              <w:t>1</w:t>
            </w:r>
            <w:r w:rsidRPr="007E3AEA">
              <w:rPr>
                <w:rFonts w:ascii="Titillium Web" w:hAnsi="Titillium Web" w:cstheme="minorHAnsi"/>
                <w:sz w:val="18"/>
                <w:szCs w:val="18"/>
              </w:rPr>
              <w:t xml:space="preserve"> PUNT</w:t>
            </w:r>
            <w:r>
              <w:rPr>
                <w:rFonts w:ascii="Titillium Web" w:hAnsi="Titillium Web" w:cstheme="minorHAnsi"/>
                <w:sz w:val="18"/>
                <w:szCs w:val="18"/>
              </w:rPr>
              <w:t>O</w:t>
            </w:r>
          </w:p>
        </w:tc>
      </w:tr>
      <w:tr w:rsidR="009202F8" w:rsidRPr="007E3AEA" w14:paraId="77E67932" w14:textId="77777777" w:rsidTr="003F7D78">
        <w:trPr>
          <w:trHeight w:val="836"/>
          <w:jc w:val="center"/>
        </w:trPr>
        <w:tc>
          <w:tcPr>
            <w:tcW w:w="533" w:type="dxa"/>
            <w:tcBorders>
              <w:top w:val="single" w:sz="4" w:space="0" w:color="000000"/>
              <w:left w:val="single" w:sz="4" w:space="0" w:color="000000"/>
              <w:bottom w:val="single" w:sz="4" w:space="0" w:color="000000"/>
              <w:right w:val="single" w:sz="4" w:space="0" w:color="000000"/>
            </w:tcBorders>
            <w:shd w:val="clear" w:color="auto" w:fill="auto"/>
          </w:tcPr>
          <w:p w14:paraId="4AF2F436" w14:textId="77777777" w:rsidR="009202F8" w:rsidRPr="005849BB" w:rsidRDefault="009202F8" w:rsidP="000300E2">
            <w:pPr>
              <w:spacing w:line="259" w:lineRule="auto"/>
              <w:jc w:val="center"/>
              <w:rPr>
                <w:rFonts w:ascii="Titillium Web" w:hAnsi="Titillium Web" w:cstheme="minorHAnsi"/>
                <w:sz w:val="18"/>
                <w:szCs w:val="18"/>
              </w:rPr>
            </w:pPr>
          </w:p>
        </w:tc>
        <w:tc>
          <w:tcPr>
            <w:tcW w:w="7512" w:type="dxa"/>
            <w:tcBorders>
              <w:top w:val="single" w:sz="4" w:space="0" w:color="000000"/>
              <w:left w:val="single" w:sz="4" w:space="0" w:color="000000"/>
              <w:bottom w:val="single" w:sz="4" w:space="0" w:color="000000"/>
              <w:right w:val="single" w:sz="4" w:space="0" w:color="000000"/>
            </w:tcBorders>
            <w:shd w:val="clear" w:color="auto" w:fill="auto"/>
          </w:tcPr>
          <w:p w14:paraId="13B75F38" w14:textId="6DC7E05E" w:rsidR="009202F8" w:rsidRPr="00B8722D" w:rsidRDefault="009202F8" w:rsidP="00052E7E">
            <w:pPr>
              <w:pStyle w:val="TableParagraph"/>
              <w:ind w:right="134"/>
              <w:jc w:val="both"/>
              <w:rPr>
                <w:rFonts w:ascii="Titillium Web" w:hAnsi="Titillium Web"/>
                <w:sz w:val="18"/>
                <w:szCs w:val="18"/>
              </w:rPr>
            </w:pPr>
            <w:r w:rsidRPr="00B8722D">
              <w:rPr>
                <w:rFonts w:ascii="Titillium Web" w:hAnsi="Titillium Web"/>
                <w:sz w:val="18"/>
                <w:szCs w:val="18"/>
              </w:rPr>
              <w:t>Il concorrente dovrà indicare il possesso o meno della certificazione della parità di genere in applicazione della prassi UNI/ PdR 125:2022</w:t>
            </w:r>
            <w:r>
              <w:rPr>
                <w:rFonts w:ascii="Titillium Web" w:hAnsi="Titillium Web"/>
                <w:sz w:val="18"/>
                <w:szCs w:val="18"/>
              </w:rPr>
              <w:t xml:space="preserve"> </w:t>
            </w:r>
            <w:r w:rsidRPr="00B8722D">
              <w:rPr>
                <w:rFonts w:ascii="Titillium Web" w:hAnsi="Titillium Web"/>
                <w:sz w:val="18"/>
                <w:szCs w:val="18"/>
              </w:rPr>
              <w:t>rilasciata da un organismo di certificazione accreditato.</w:t>
            </w:r>
            <w:r w:rsidR="00E80741">
              <w:rPr>
                <w:rFonts w:ascii="Titillium Web" w:hAnsi="Titillium Web"/>
                <w:sz w:val="18"/>
                <w:szCs w:val="18"/>
              </w:rPr>
              <w:t xml:space="preserve"> </w:t>
            </w:r>
            <w:r w:rsidRPr="00B8722D">
              <w:rPr>
                <w:rFonts w:ascii="Titillium Web" w:hAnsi="Titillium Web"/>
                <w:sz w:val="18"/>
                <w:szCs w:val="18"/>
              </w:rPr>
              <w:t>Al fine dell’attribuzione del relativo punteggio, il</w:t>
            </w:r>
            <w:r>
              <w:rPr>
                <w:rFonts w:ascii="Titillium Web" w:hAnsi="Titillium Web"/>
                <w:sz w:val="18"/>
                <w:szCs w:val="18"/>
              </w:rPr>
              <w:t xml:space="preserve"> </w:t>
            </w:r>
            <w:r w:rsidRPr="00B8722D">
              <w:rPr>
                <w:rFonts w:ascii="Titillium Web" w:hAnsi="Titillium Web"/>
                <w:sz w:val="18"/>
                <w:szCs w:val="18"/>
              </w:rPr>
              <w:t>concorrente dovrà chiaramente indicare –</w:t>
            </w:r>
            <w:r>
              <w:rPr>
                <w:rFonts w:ascii="Titillium Web" w:hAnsi="Titillium Web"/>
                <w:sz w:val="18"/>
                <w:szCs w:val="18"/>
              </w:rPr>
              <w:t xml:space="preserve"> </w:t>
            </w:r>
            <w:r w:rsidRPr="00B8722D">
              <w:rPr>
                <w:rFonts w:ascii="Titillium Web" w:hAnsi="Titillium Web"/>
                <w:sz w:val="18"/>
                <w:szCs w:val="18"/>
              </w:rPr>
              <w:t>all’interno del proprio progetto – la certificazione</w:t>
            </w:r>
            <w:r>
              <w:rPr>
                <w:rFonts w:ascii="Titillium Web" w:hAnsi="Titillium Web"/>
                <w:sz w:val="18"/>
                <w:szCs w:val="18"/>
              </w:rPr>
              <w:t xml:space="preserve"> </w:t>
            </w:r>
            <w:r w:rsidRPr="00B8722D">
              <w:rPr>
                <w:rFonts w:ascii="Titillium Web" w:hAnsi="Titillium Web"/>
                <w:sz w:val="18"/>
                <w:szCs w:val="18"/>
              </w:rPr>
              <w:t xml:space="preserve">posseduta in corso di validità e </w:t>
            </w:r>
            <w:r w:rsidRPr="00052E7E">
              <w:rPr>
                <w:rFonts w:ascii="Titillium Web" w:hAnsi="Titillium Web"/>
                <w:b/>
                <w:bCs/>
                <w:sz w:val="18"/>
                <w:szCs w:val="18"/>
              </w:rPr>
              <w:t>allegarne copia</w:t>
            </w:r>
            <w:r w:rsidRPr="00B8722D">
              <w:rPr>
                <w:rFonts w:ascii="Titillium Web" w:hAnsi="Titillium Web"/>
                <w:sz w:val="18"/>
                <w:szCs w:val="18"/>
              </w:rPr>
              <w:t>.</w:t>
            </w:r>
            <w:r w:rsidR="00052E7E">
              <w:rPr>
                <w:rFonts w:ascii="Titillium Web" w:hAnsi="Titillium Web"/>
                <w:sz w:val="18"/>
                <w:szCs w:val="18"/>
              </w:rPr>
              <w:t xml:space="preserve"> </w:t>
            </w:r>
            <w:r w:rsidRPr="00B8722D">
              <w:rPr>
                <w:rFonts w:ascii="Titillium Web" w:hAnsi="Titillium Web"/>
                <w:sz w:val="18"/>
                <w:szCs w:val="18"/>
              </w:rPr>
              <w:t xml:space="preserve">Il punteggio verrà attribuito con </w:t>
            </w:r>
            <w:r w:rsidR="00AC7A4F">
              <w:rPr>
                <w:rFonts w:ascii="Titillium Web" w:hAnsi="Titillium Web"/>
                <w:sz w:val="18"/>
                <w:szCs w:val="18"/>
              </w:rPr>
              <w:t xml:space="preserve">la seguente </w:t>
            </w:r>
            <w:r w:rsidRPr="00B8722D">
              <w:rPr>
                <w:rFonts w:ascii="Titillium Web" w:hAnsi="Titillium Web"/>
                <w:sz w:val="18"/>
                <w:szCs w:val="18"/>
              </w:rPr>
              <w:t>modalità</w:t>
            </w:r>
            <w:r w:rsidR="00E80741">
              <w:rPr>
                <w:rFonts w:ascii="Titillium Web" w:hAnsi="Titillium Web"/>
                <w:sz w:val="18"/>
                <w:szCs w:val="18"/>
              </w:rPr>
              <w:t>:</w:t>
            </w:r>
          </w:p>
          <w:p w14:paraId="50A138DB" w14:textId="77777777" w:rsidR="009202F8" w:rsidRPr="00B8722D" w:rsidRDefault="009202F8" w:rsidP="00AC7A4F">
            <w:pPr>
              <w:pStyle w:val="TableParagraph"/>
              <w:jc w:val="both"/>
              <w:rPr>
                <w:rFonts w:ascii="Titillium Web" w:hAnsi="Titillium Web"/>
                <w:sz w:val="18"/>
                <w:szCs w:val="18"/>
              </w:rPr>
            </w:pPr>
            <w:r w:rsidRPr="00B8722D">
              <w:rPr>
                <w:rFonts w:ascii="Titillium Web" w:hAnsi="Titillium Web"/>
                <w:sz w:val="18"/>
                <w:szCs w:val="18"/>
              </w:rPr>
              <w:t xml:space="preserve">SI </w:t>
            </w:r>
            <w:r>
              <w:rPr>
                <w:rFonts w:ascii="Titillium Web" w:hAnsi="Titillium Web"/>
                <w:sz w:val="18"/>
                <w:szCs w:val="18"/>
              </w:rPr>
              <w:t>1</w:t>
            </w:r>
            <w:r w:rsidRPr="00B8722D">
              <w:rPr>
                <w:rFonts w:ascii="Titillium Web" w:hAnsi="Titillium Web"/>
                <w:sz w:val="18"/>
                <w:szCs w:val="18"/>
              </w:rPr>
              <w:t xml:space="preserve"> punt</w:t>
            </w:r>
            <w:r>
              <w:rPr>
                <w:rFonts w:ascii="Titillium Web" w:hAnsi="Titillium Web"/>
                <w:sz w:val="18"/>
                <w:szCs w:val="18"/>
              </w:rPr>
              <w:t>i</w:t>
            </w:r>
          </w:p>
          <w:p w14:paraId="540F1348" w14:textId="77777777" w:rsidR="009202F8" w:rsidRDefault="009202F8" w:rsidP="00AC7A4F">
            <w:pPr>
              <w:spacing w:line="240" w:lineRule="auto"/>
              <w:rPr>
                <w:rFonts w:ascii="Titillium Web" w:hAnsi="Titillium Web"/>
                <w:sz w:val="18"/>
                <w:szCs w:val="18"/>
              </w:rPr>
            </w:pPr>
            <w:r w:rsidRPr="00B8722D">
              <w:rPr>
                <w:rFonts w:ascii="Titillium Web" w:hAnsi="Titillium Web"/>
                <w:sz w:val="18"/>
                <w:szCs w:val="18"/>
              </w:rPr>
              <w:t>NO 0 punti</w:t>
            </w:r>
          </w:p>
          <w:p w14:paraId="6163964F" w14:textId="77777777" w:rsidR="009202F8" w:rsidRPr="005849BB" w:rsidRDefault="009202F8" w:rsidP="000300E2">
            <w:pPr>
              <w:spacing w:line="259" w:lineRule="auto"/>
              <w:ind w:right="106"/>
              <w:rPr>
                <w:rFonts w:ascii="Titillium Web" w:hAnsi="Titillium Web" w:cstheme="minorHAnsi"/>
                <w:sz w:val="18"/>
                <w:szCs w:val="18"/>
              </w:rPr>
            </w:pPr>
            <w:r w:rsidRPr="0032129E">
              <w:rPr>
                <w:rFonts w:ascii="Titillium Web" w:hAnsi="Titillium Web" w:cstheme="minorHAnsi"/>
                <w:sz w:val="18"/>
                <w:szCs w:val="18"/>
              </w:rPr>
              <w:t>Si precisa che in caso di partecipazione in RTI tutti i membri del RTI devono essere in possesso della certificazione e in caso di Consorzio la certificazione deve essere posseduta dal Consorzio e dagli esecutori.</w:t>
            </w:r>
          </w:p>
        </w:tc>
        <w:tc>
          <w:tcPr>
            <w:tcW w:w="19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A36C8" w14:textId="77777777" w:rsidR="009202F8" w:rsidRPr="007E3AEA" w:rsidRDefault="009202F8" w:rsidP="000300E2">
            <w:pPr>
              <w:pStyle w:val="Paragrafoelenco"/>
              <w:spacing w:line="259" w:lineRule="auto"/>
              <w:ind w:left="0"/>
              <w:jc w:val="center"/>
              <w:rPr>
                <w:rFonts w:ascii="Titillium Web" w:hAnsi="Titillium Web" w:cstheme="minorHAnsi"/>
                <w:sz w:val="18"/>
                <w:szCs w:val="18"/>
              </w:rPr>
            </w:pPr>
            <w:r>
              <w:rPr>
                <w:rFonts w:ascii="Titillium Web" w:hAnsi="Titillium Web" w:cstheme="minorHAnsi"/>
                <w:sz w:val="18"/>
                <w:szCs w:val="18"/>
              </w:rPr>
              <w:t xml:space="preserve">1 </w:t>
            </w:r>
            <w:r w:rsidRPr="007E3AEA">
              <w:rPr>
                <w:rFonts w:ascii="Titillium Web" w:hAnsi="Titillium Web" w:cstheme="minorHAnsi"/>
                <w:sz w:val="18"/>
                <w:szCs w:val="18"/>
              </w:rPr>
              <w:t>punt</w:t>
            </w:r>
            <w:r>
              <w:rPr>
                <w:rFonts w:ascii="Titillium Web" w:hAnsi="Titillium Web" w:cstheme="minorHAnsi"/>
                <w:sz w:val="18"/>
                <w:szCs w:val="18"/>
              </w:rPr>
              <w:t>o</w:t>
            </w:r>
          </w:p>
          <w:p w14:paraId="05646795" w14:textId="77777777" w:rsidR="009202F8" w:rsidRPr="007E3AEA" w:rsidRDefault="009202F8" w:rsidP="000300E2">
            <w:pPr>
              <w:pStyle w:val="Paragrafoelenco"/>
              <w:spacing w:line="259" w:lineRule="auto"/>
              <w:ind w:left="0"/>
              <w:jc w:val="center"/>
              <w:rPr>
                <w:rFonts w:ascii="Titillium Web" w:hAnsi="Titillium Web" w:cstheme="minorHAnsi"/>
                <w:sz w:val="18"/>
                <w:szCs w:val="18"/>
              </w:rPr>
            </w:pPr>
            <w:r>
              <w:rPr>
                <w:rFonts w:ascii="Titillium Web" w:hAnsi="Titillium Web" w:cstheme="minorHAnsi"/>
                <w:sz w:val="18"/>
                <w:szCs w:val="18"/>
              </w:rPr>
              <w:t>T</w:t>
            </w:r>
          </w:p>
        </w:tc>
      </w:tr>
      <w:tr w:rsidR="009202F8" w:rsidRPr="005849BB" w14:paraId="084B187F" w14:textId="77777777" w:rsidTr="003F7D78">
        <w:trPr>
          <w:trHeight w:val="529"/>
          <w:jc w:val="center"/>
        </w:trPr>
        <w:tc>
          <w:tcPr>
            <w:tcW w:w="533" w:type="dxa"/>
            <w:tcBorders>
              <w:top w:val="single" w:sz="4" w:space="0" w:color="000000"/>
              <w:left w:val="single" w:sz="4" w:space="0" w:color="000000"/>
              <w:bottom w:val="single" w:sz="4" w:space="0" w:color="000000"/>
              <w:right w:val="single" w:sz="4" w:space="0" w:color="000000"/>
            </w:tcBorders>
            <w:shd w:val="clear" w:color="auto" w:fill="CBD3DE" w:themeFill="text2" w:themeFillTint="40"/>
          </w:tcPr>
          <w:p w14:paraId="5FC46A99" w14:textId="77777777" w:rsidR="009202F8" w:rsidRPr="005849BB" w:rsidRDefault="009202F8" w:rsidP="000300E2">
            <w:pPr>
              <w:spacing w:line="259" w:lineRule="auto"/>
              <w:rPr>
                <w:rFonts w:ascii="Titillium Web" w:hAnsi="Titillium Web" w:cstheme="minorHAnsi"/>
                <w:sz w:val="18"/>
                <w:szCs w:val="18"/>
              </w:rPr>
            </w:pPr>
            <w:r w:rsidRPr="005849BB">
              <w:rPr>
                <w:rFonts w:ascii="Titillium Web" w:hAnsi="Titillium Web" w:cstheme="minorHAnsi"/>
                <w:sz w:val="18"/>
                <w:szCs w:val="18"/>
              </w:rPr>
              <w:t xml:space="preserve"> </w:t>
            </w:r>
          </w:p>
        </w:tc>
        <w:tc>
          <w:tcPr>
            <w:tcW w:w="7512" w:type="dxa"/>
            <w:tcBorders>
              <w:top w:val="single" w:sz="4" w:space="0" w:color="000000"/>
              <w:left w:val="single" w:sz="4" w:space="0" w:color="000000"/>
              <w:bottom w:val="single" w:sz="4" w:space="0" w:color="000000"/>
              <w:right w:val="single" w:sz="4" w:space="0" w:color="000000"/>
            </w:tcBorders>
            <w:shd w:val="clear" w:color="auto" w:fill="CBD3DE" w:themeFill="text2" w:themeFillTint="40"/>
            <w:vAlign w:val="center"/>
          </w:tcPr>
          <w:p w14:paraId="0D3A5E1B" w14:textId="77777777" w:rsidR="009202F8" w:rsidRPr="005849BB" w:rsidRDefault="009202F8" w:rsidP="000300E2">
            <w:pPr>
              <w:spacing w:line="259" w:lineRule="auto"/>
              <w:ind w:left="2"/>
              <w:jc w:val="center"/>
              <w:rPr>
                <w:rFonts w:ascii="Titillium Web" w:hAnsi="Titillium Web" w:cstheme="minorHAnsi"/>
                <w:sz w:val="18"/>
                <w:szCs w:val="18"/>
              </w:rPr>
            </w:pPr>
            <w:r w:rsidRPr="005849BB">
              <w:rPr>
                <w:rFonts w:ascii="Titillium Web" w:hAnsi="Titillium Web" w:cstheme="minorHAnsi"/>
                <w:b/>
                <w:sz w:val="18"/>
                <w:szCs w:val="18"/>
              </w:rPr>
              <w:t>TOTALE</w:t>
            </w:r>
          </w:p>
        </w:tc>
        <w:tc>
          <w:tcPr>
            <w:tcW w:w="1979" w:type="dxa"/>
            <w:tcBorders>
              <w:top w:val="single" w:sz="4" w:space="0" w:color="000000"/>
              <w:left w:val="single" w:sz="4" w:space="0" w:color="000000"/>
              <w:bottom w:val="single" w:sz="4" w:space="0" w:color="000000"/>
              <w:right w:val="single" w:sz="4" w:space="0" w:color="000000"/>
            </w:tcBorders>
            <w:shd w:val="clear" w:color="auto" w:fill="CBD3DE" w:themeFill="text2" w:themeFillTint="40"/>
            <w:vAlign w:val="center"/>
          </w:tcPr>
          <w:p w14:paraId="1338E237" w14:textId="77777777" w:rsidR="009202F8" w:rsidRPr="005849BB" w:rsidRDefault="009202F8" w:rsidP="000300E2">
            <w:pPr>
              <w:spacing w:line="259" w:lineRule="auto"/>
              <w:ind w:left="2"/>
              <w:jc w:val="center"/>
              <w:rPr>
                <w:rFonts w:ascii="Titillium Web" w:hAnsi="Titillium Web" w:cstheme="minorHAnsi"/>
                <w:sz w:val="18"/>
                <w:szCs w:val="18"/>
              </w:rPr>
            </w:pPr>
            <w:r>
              <w:rPr>
                <w:rFonts w:ascii="Titillium Web" w:hAnsi="Titillium Web" w:cstheme="minorHAnsi"/>
                <w:b/>
                <w:sz w:val="18"/>
                <w:szCs w:val="18"/>
              </w:rPr>
              <w:t>80</w:t>
            </w:r>
            <w:r w:rsidRPr="005849BB">
              <w:rPr>
                <w:rFonts w:ascii="Titillium Web" w:hAnsi="Titillium Web" w:cstheme="minorHAnsi"/>
                <w:b/>
                <w:sz w:val="18"/>
                <w:szCs w:val="18"/>
              </w:rPr>
              <w:t xml:space="preserve"> PUNTI</w:t>
            </w:r>
          </w:p>
        </w:tc>
      </w:tr>
    </w:tbl>
    <w:p w14:paraId="785FF901" w14:textId="77777777" w:rsidR="00901357" w:rsidRDefault="00901357" w:rsidP="00D50F01">
      <w:pPr>
        <w:spacing w:before="120" w:after="60"/>
        <w:jc w:val="center"/>
        <w:rPr>
          <w:rFonts w:ascii="Titillium" w:hAnsi="Titillium" w:cs="Calibri"/>
          <w:b/>
          <w:i/>
          <w:sz w:val="22"/>
          <w:lang w:eastAsia="it-IT"/>
        </w:rPr>
      </w:pPr>
    </w:p>
    <w:p w14:paraId="0E1AA397" w14:textId="77777777" w:rsidR="007624DC" w:rsidRDefault="007624DC" w:rsidP="007624DC">
      <w:pPr>
        <w:spacing w:before="60" w:after="60"/>
        <w:rPr>
          <w:rFonts w:ascii="Titillium" w:hAnsi="Titillium"/>
          <w:sz w:val="18"/>
          <w:szCs w:val="18"/>
        </w:rPr>
      </w:pPr>
      <w:r w:rsidRPr="007624DC">
        <w:rPr>
          <w:rFonts w:ascii="Titillium" w:hAnsi="Titillium"/>
          <w:b/>
          <w:bCs/>
          <w:sz w:val="18"/>
          <w:szCs w:val="18"/>
        </w:rPr>
        <w:t>Riparametrazione:</w:t>
      </w:r>
      <w:r w:rsidRPr="007624DC">
        <w:rPr>
          <w:rFonts w:ascii="Titillium" w:hAnsi="Titillium"/>
          <w:sz w:val="18"/>
          <w:szCs w:val="18"/>
        </w:rPr>
        <w:t xml:space="preserve"> al fine di evitare l'attribuzione di un peso eccessivo ad elementi carenti delle offerte dei concorrenti, non si procederà ad alcuna riparametrazione dei punteggi.</w:t>
      </w:r>
    </w:p>
    <w:p w14:paraId="1BD2D52A" w14:textId="77777777" w:rsidR="00473A92" w:rsidRPr="00473A92" w:rsidRDefault="00473A92" w:rsidP="007624DC">
      <w:pPr>
        <w:spacing w:before="60" w:after="60"/>
        <w:rPr>
          <w:rFonts w:ascii="Titillium" w:hAnsi="Titillium"/>
          <w:sz w:val="18"/>
          <w:szCs w:val="18"/>
        </w:rPr>
      </w:pPr>
      <w:bookmarkStart w:id="1806" w:name="_Hlk106918666"/>
      <w:bookmarkStart w:id="1807" w:name="_Hlk102986659"/>
      <w:bookmarkEnd w:id="1805"/>
      <w:r w:rsidRPr="00473A92">
        <w:rPr>
          <w:rFonts w:ascii="Titillium" w:hAnsi="Titillium"/>
          <w:sz w:val="18"/>
          <w:szCs w:val="18"/>
        </w:rPr>
        <w:t>Quanto ai “Punteggi Discrezionali”, indicati con la lettera “D”, il coefficiente è attribuito in ragione dell’esercizio della discrezionalità spettante alla commissione giudicatrice e che saranno valutati come segue</w:t>
      </w:r>
    </w:p>
    <w:p w14:paraId="02485DDD" w14:textId="77777777" w:rsidR="00473A92" w:rsidRPr="00473A92" w:rsidRDefault="00473A92" w:rsidP="0035397B">
      <w:pPr>
        <w:numPr>
          <w:ilvl w:val="0"/>
          <w:numId w:val="37"/>
        </w:numPr>
        <w:spacing w:before="60" w:after="60"/>
        <w:ind w:left="426"/>
        <w:rPr>
          <w:rFonts w:ascii="Titillium" w:hAnsi="Titillium"/>
          <w:sz w:val="18"/>
          <w:szCs w:val="18"/>
        </w:rPr>
      </w:pPr>
      <w:r w:rsidRPr="00473A92">
        <w:rPr>
          <w:rFonts w:ascii="Titillium" w:hAnsi="Titillium"/>
          <w:sz w:val="18"/>
          <w:szCs w:val="18"/>
        </w:rPr>
        <w:t>ciascun commissario di gara attribuirà un coefficiente V(a)i, variabile tra 1 e 0, a ciascun criterio o sub- criterio oggetto di valutazione;</w:t>
      </w:r>
    </w:p>
    <w:p w14:paraId="2D45A434" w14:textId="77777777" w:rsidR="00473A92" w:rsidRPr="00473A92" w:rsidRDefault="00473A92" w:rsidP="0035397B">
      <w:pPr>
        <w:numPr>
          <w:ilvl w:val="0"/>
          <w:numId w:val="37"/>
        </w:numPr>
        <w:spacing w:before="60" w:after="60"/>
        <w:ind w:left="426"/>
        <w:rPr>
          <w:rFonts w:ascii="Titillium" w:hAnsi="Titillium"/>
          <w:sz w:val="18"/>
          <w:szCs w:val="18"/>
        </w:rPr>
      </w:pPr>
      <w:r w:rsidRPr="00473A92">
        <w:rPr>
          <w:rFonts w:ascii="Titillium" w:hAnsi="Titillium"/>
          <w:sz w:val="18"/>
          <w:szCs w:val="18"/>
        </w:rPr>
        <w:t>si procederà al calcolo della media dei coefficienti attribuiti da ciascun commissario in relazione a ciascun criterio o sub- criterio valutato, così ottenendo dei coefficienti medi definitivi;</w:t>
      </w:r>
    </w:p>
    <w:p w14:paraId="01173E13" w14:textId="6C4164FD" w:rsidR="0011583A" w:rsidRPr="00473A92" w:rsidRDefault="00473A92" w:rsidP="0035397B">
      <w:pPr>
        <w:numPr>
          <w:ilvl w:val="0"/>
          <w:numId w:val="37"/>
        </w:numPr>
        <w:spacing w:before="60" w:after="60"/>
        <w:ind w:left="426"/>
        <w:rPr>
          <w:rFonts w:ascii="Titillium" w:hAnsi="Titillium"/>
          <w:sz w:val="18"/>
          <w:szCs w:val="18"/>
        </w:rPr>
      </w:pPr>
      <w:r w:rsidRPr="00473A92">
        <w:rPr>
          <w:rFonts w:ascii="Titillium" w:hAnsi="Titillium"/>
          <w:sz w:val="18"/>
          <w:szCs w:val="18"/>
        </w:rPr>
        <w:t>quanto all'attribuzione dei coefficienti da parte di ciascun commissario, essi saranno determinati secondo la seguente scala di valori:</w:t>
      </w:r>
    </w:p>
    <w:tbl>
      <w:tblPr>
        <w:tblStyle w:val="Grigliatabella"/>
        <w:tblW w:w="0" w:type="auto"/>
        <w:tblLook w:val="04A0" w:firstRow="1" w:lastRow="0" w:firstColumn="1" w:lastColumn="0" w:noHBand="0" w:noVBand="1"/>
      </w:tblPr>
      <w:tblGrid>
        <w:gridCol w:w="2122"/>
        <w:gridCol w:w="7088"/>
      </w:tblGrid>
      <w:tr w:rsidR="00C95F75" w:rsidRPr="00C95F75" w14:paraId="2EA40203" w14:textId="77777777" w:rsidTr="0035397B">
        <w:trPr>
          <w:trHeight w:val="1200"/>
        </w:trPr>
        <w:tc>
          <w:tcPr>
            <w:tcW w:w="2122" w:type="dxa"/>
            <w:hideMark/>
          </w:tcPr>
          <w:p w14:paraId="0C6D995B" w14:textId="77777777" w:rsidR="00C95F75" w:rsidRPr="00C95F75" w:rsidRDefault="00C95F75" w:rsidP="00C95F75">
            <w:pPr>
              <w:spacing w:before="60" w:after="60"/>
              <w:rPr>
                <w:rFonts w:ascii="Titillium" w:hAnsi="Titillium"/>
                <w:b/>
                <w:bCs/>
                <w:sz w:val="18"/>
                <w:szCs w:val="18"/>
              </w:rPr>
            </w:pPr>
            <w:r w:rsidRPr="00C95F75">
              <w:rPr>
                <w:rFonts w:ascii="Titillium" w:hAnsi="Titillium"/>
                <w:b/>
                <w:bCs/>
                <w:sz w:val="18"/>
                <w:szCs w:val="18"/>
              </w:rPr>
              <w:t xml:space="preserve">Eccellente </w:t>
            </w:r>
            <w:r w:rsidRPr="00C95F75">
              <w:rPr>
                <w:rFonts w:ascii="Titillium" w:hAnsi="Titillium"/>
                <w:b/>
                <w:bCs/>
                <w:sz w:val="18"/>
                <w:szCs w:val="18"/>
              </w:rPr>
              <w:br/>
              <w:t>1,00</w:t>
            </w:r>
            <w:r w:rsidRPr="00C95F75">
              <w:rPr>
                <w:rFonts w:ascii="Titillium" w:hAnsi="Titillium"/>
                <w:sz w:val="18"/>
                <w:szCs w:val="18"/>
              </w:rPr>
              <w:t xml:space="preserve"> </w:t>
            </w:r>
          </w:p>
        </w:tc>
        <w:tc>
          <w:tcPr>
            <w:tcW w:w="7088" w:type="dxa"/>
            <w:hideMark/>
          </w:tcPr>
          <w:p w14:paraId="63A0E5FD" w14:textId="77777777" w:rsidR="00C95F75" w:rsidRPr="00C95F75" w:rsidRDefault="00C95F75" w:rsidP="00C95F75">
            <w:pPr>
              <w:spacing w:before="60" w:after="60"/>
              <w:rPr>
                <w:rFonts w:ascii="Titillium" w:hAnsi="Titillium"/>
                <w:sz w:val="18"/>
                <w:szCs w:val="18"/>
              </w:rPr>
            </w:pPr>
            <w:r w:rsidRPr="00C95F75">
              <w:rPr>
                <w:rFonts w:ascii="Titillium" w:hAnsi="Titillium"/>
                <w:sz w:val="18"/>
                <w:szCs w:val="18"/>
              </w:rPr>
              <w:t>L'elemento oggetto di valutazione è trattato in misura pienamente esauriente dal punto di vista tecnico e funzionale. La soluzione risponde pienamente a quanto richiesto. Contenuti pienamente soddisfacenti, quindi eccellenti, rispetto a quanto richiesto dalla documentazione di gara nonché alle attività da eseguire e descritti in maniera pienamente chiara ed esaustiva.</w:t>
            </w:r>
          </w:p>
        </w:tc>
      </w:tr>
      <w:tr w:rsidR="00C95F75" w:rsidRPr="00C95F75" w14:paraId="589A773D" w14:textId="77777777" w:rsidTr="0035397B">
        <w:trPr>
          <w:trHeight w:val="900"/>
        </w:trPr>
        <w:tc>
          <w:tcPr>
            <w:tcW w:w="2122" w:type="dxa"/>
            <w:hideMark/>
          </w:tcPr>
          <w:p w14:paraId="64EE0487" w14:textId="77777777" w:rsidR="00C95F75" w:rsidRPr="00C95F75" w:rsidRDefault="00C95F75" w:rsidP="00C95F75">
            <w:pPr>
              <w:spacing w:before="60" w:after="60"/>
              <w:rPr>
                <w:rFonts w:ascii="Titillium" w:hAnsi="Titillium"/>
                <w:b/>
                <w:bCs/>
                <w:sz w:val="18"/>
                <w:szCs w:val="18"/>
              </w:rPr>
            </w:pPr>
            <w:r w:rsidRPr="00C95F75">
              <w:rPr>
                <w:rFonts w:ascii="Titillium" w:hAnsi="Titillium"/>
                <w:b/>
                <w:bCs/>
                <w:sz w:val="18"/>
                <w:szCs w:val="18"/>
              </w:rPr>
              <w:t xml:space="preserve">Ottimo </w:t>
            </w:r>
            <w:r w:rsidRPr="00C95F75">
              <w:rPr>
                <w:rFonts w:ascii="Titillium" w:hAnsi="Titillium"/>
                <w:b/>
                <w:bCs/>
                <w:sz w:val="18"/>
                <w:szCs w:val="18"/>
              </w:rPr>
              <w:br/>
              <w:t>0,9</w:t>
            </w:r>
            <w:r w:rsidRPr="00C95F75">
              <w:rPr>
                <w:rFonts w:ascii="Titillium" w:hAnsi="Titillium"/>
                <w:sz w:val="18"/>
                <w:szCs w:val="18"/>
              </w:rPr>
              <w:t xml:space="preserve"> </w:t>
            </w:r>
          </w:p>
        </w:tc>
        <w:tc>
          <w:tcPr>
            <w:tcW w:w="7088" w:type="dxa"/>
            <w:hideMark/>
          </w:tcPr>
          <w:p w14:paraId="1A30AE46" w14:textId="77777777" w:rsidR="00C95F75" w:rsidRPr="00C95F75" w:rsidRDefault="00C95F75" w:rsidP="00C95F75">
            <w:pPr>
              <w:spacing w:before="60" w:after="60"/>
              <w:rPr>
                <w:rFonts w:ascii="Titillium" w:hAnsi="Titillium"/>
                <w:sz w:val="18"/>
                <w:szCs w:val="18"/>
              </w:rPr>
            </w:pPr>
            <w:r w:rsidRPr="00C95F75">
              <w:rPr>
                <w:rFonts w:ascii="Titillium" w:hAnsi="Titillium"/>
                <w:sz w:val="18"/>
                <w:szCs w:val="18"/>
              </w:rPr>
              <w:t>Contenuti molto soddisfacenti, quindi ottimi, rispetto a quanto richiesto dalla documentazione di gara nonché con riferimento alle attività da eseguire, con elementi descritti in maniera molto chiara ed esaustiva.</w:t>
            </w:r>
          </w:p>
        </w:tc>
      </w:tr>
      <w:tr w:rsidR="00C95F75" w:rsidRPr="00C95F75" w14:paraId="31CACA56" w14:textId="77777777" w:rsidTr="0035397B">
        <w:trPr>
          <w:trHeight w:val="832"/>
        </w:trPr>
        <w:tc>
          <w:tcPr>
            <w:tcW w:w="2122" w:type="dxa"/>
            <w:hideMark/>
          </w:tcPr>
          <w:p w14:paraId="38DD47C3" w14:textId="77777777" w:rsidR="00C95F75" w:rsidRPr="00C95F75" w:rsidRDefault="00C95F75" w:rsidP="00C95F75">
            <w:pPr>
              <w:spacing w:before="60" w:after="60"/>
              <w:rPr>
                <w:rFonts w:ascii="Titillium" w:hAnsi="Titillium"/>
                <w:b/>
                <w:bCs/>
                <w:sz w:val="18"/>
                <w:szCs w:val="18"/>
              </w:rPr>
            </w:pPr>
            <w:r w:rsidRPr="00C95F75">
              <w:rPr>
                <w:rFonts w:ascii="Titillium" w:hAnsi="Titillium"/>
                <w:b/>
                <w:bCs/>
                <w:sz w:val="18"/>
                <w:szCs w:val="18"/>
              </w:rPr>
              <w:t xml:space="preserve">Buono </w:t>
            </w:r>
            <w:r w:rsidRPr="00C95F75">
              <w:rPr>
                <w:rFonts w:ascii="Titillium" w:hAnsi="Titillium"/>
                <w:b/>
                <w:bCs/>
                <w:sz w:val="18"/>
                <w:szCs w:val="18"/>
              </w:rPr>
              <w:br/>
              <w:t xml:space="preserve">0,8 </w:t>
            </w:r>
          </w:p>
        </w:tc>
        <w:tc>
          <w:tcPr>
            <w:tcW w:w="7088" w:type="dxa"/>
            <w:hideMark/>
          </w:tcPr>
          <w:p w14:paraId="1C16CD32" w14:textId="77777777" w:rsidR="00C95F75" w:rsidRPr="00C95F75" w:rsidRDefault="00C95F75" w:rsidP="00C95F75">
            <w:pPr>
              <w:spacing w:before="60" w:after="60"/>
              <w:rPr>
                <w:rFonts w:ascii="Titillium" w:hAnsi="Titillium"/>
                <w:sz w:val="18"/>
                <w:szCs w:val="18"/>
              </w:rPr>
            </w:pPr>
            <w:r w:rsidRPr="00C95F75">
              <w:rPr>
                <w:rFonts w:ascii="Titillium" w:hAnsi="Titillium"/>
                <w:sz w:val="18"/>
                <w:szCs w:val="18"/>
              </w:rPr>
              <w:t>L'elemento oggetto di valutazione è trattato in misura esauriente dal punto di vista tecnico e funzionale. La soluzione risponde in maniera soddisfacente a quanto richiesto. Il livello degli elementi offerti è di livello qualificato con elementi descritti in maniera chiara.</w:t>
            </w:r>
          </w:p>
        </w:tc>
      </w:tr>
      <w:tr w:rsidR="00C95F75" w:rsidRPr="00C95F75" w14:paraId="6CB73692" w14:textId="77777777" w:rsidTr="0035397B">
        <w:trPr>
          <w:trHeight w:val="892"/>
        </w:trPr>
        <w:tc>
          <w:tcPr>
            <w:tcW w:w="2122" w:type="dxa"/>
            <w:hideMark/>
          </w:tcPr>
          <w:p w14:paraId="4BC1108B" w14:textId="77777777" w:rsidR="00C95F75" w:rsidRPr="00C95F75" w:rsidRDefault="00C95F75" w:rsidP="00C95F75">
            <w:pPr>
              <w:spacing w:before="60" w:after="60"/>
              <w:rPr>
                <w:rFonts w:ascii="Titillium" w:hAnsi="Titillium"/>
                <w:b/>
                <w:bCs/>
                <w:sz w:val="18"/>
                <w:szCs w:val="18"/>
              </w:rPr>
            </w:pPr>
            <w:r w:rsidRPr="00C95F75">
              <w:rPr>
                <w:rFonts w:ascii="Titillium" w:hAnsi="Titillium"/>
                <w:b/>
                <w:bCs/>
                <w:sz w:val="18"/>
                <w:szCs w:val="18"/>
              </w:rPr>
              <w:lastRenderedPageBreak/>
              <w:t xml:space="preserve">Discreto </w:t>
            </w:r>
            <w:r w:rsidRPr="00C95F75">
              <w:rPr>
                <w:rFonts w:ascii="Titillium" w:hAnsi="Titillium"/>
                <w:b/>
                <w:bCs/>
                <w:sz w:val="18"/>
                <w:szCs w:val="18"/>
              </w:rPr>
              <w:br/>
              <w:t>0,7</w:t>
            </w:r>
          </w:p>
        </w:tc>
        <w:tc>
          <w:tcPr>
            <w:tcW w:w="7088" w:type="dxa"/>
            <w:hideMark/>
          </w:tcPr>
          <w:p w14:paraId="48A49364" w14:textId="77777777" w:rsidR="00C95F75" w:rsidRPr="00C95F75" w:rsidRDefault="00C95F75" w:rsidP="00C95F75">
            <w:pPr>
              <w:spacing w:before="60" w:after="60"/>
              <w:rPr>
                <w:rFonts w:ascii="Titillium" w:hAnsi="Titillium"/>
                <w:sz w:val="18"/>
                <w:szCs w:val="18"/>
              </w:rPr>
            </w:pPr>
            <w:r w:rsidRPr="00C95F75">
              <w:rPr>
                <w:rFonts w:ascii="Titillium" w:hAnsi="Titillium"/>
                <w:sz w:val="18"/>
                <w:szCs w:val="18"/>
              </w:rPr>
              <w:t>L'elemento oggetto di valutazione è trattato in misura soddisfacente dal punto di vista tecnico e funzionale Descrizione e contenuti soddisfacenti rispetto a quanto richiesto dalla documentazione di gara, con elementi di livello qualificato.</w:t>
            </w:r>
          </w:p>
        </w:tc>
      </w:tr>
      <w:tr w:rsidR="00C95F75" w:rsidRPr="00C95F75" w14:paraId="69C63356" w14:textId="77777777" w:rsidTr="0035397B">
        <w:trPr>
          <w:trHeight w:val="966"/>
        </w:trPr>
        <w:tc>
          <w:tcPr>
            <w:tcW w:w="2122" w:type="dxa"/>
            <w:hideMark/>
          </w:tcPr>
          <w:p w14:paraId="73463A18" w14:textId="77777777" w:rsidR="0035397B" w:rsidRDefault="00C95F75" w:rsidP="00C95F75">
            <w:pPr>
              <w:spacing w:before="60" w:after="60"/>
              <w:rPr>
                <w:rFonts w:ascii="Titillium" w:hAnsi="Titillium"/>
                <w:b/>
                <w:bCs/>
                <w:sz w:val="18"/>
                <w:szCs w:val="18"/>
              </w:rPr>
            </w:pPr>
            <w:r w:rsidRPr="00C95F75">
              <w:rPr>
                <w:rFonts w:ascii="Titillium" w:hAnsi="Titillium"/>
                <w:b/>
                <w:bCs/>
                <w:sz w:val="18"/>
                <w:szCs w:val="18"/>
              </w:rPr>
              <w:t>Più che sufficiente</w:t>
            </w:r>
          </w:p>
          <w:p w14:paraId="4BB577AC" w14:textId="039481DA" w:rsidR="00C95F75" w:rsidRPr="00C95F75" w:rsidRDefault="00C95F75" w:rsidP="00C95F75">
            <w:pPr>
              <w:spacing w:before="60" w:after="60"/>
              <w:rPr>
                <w:rFonts w:ascii="Titillium" w:hAnsi="Titillium"/>
                <w:b/>
                <w:bCs/>
                <w:sz w:val="18"/>
                <w:szCs w:val="18"/>
              </w:rPr>
            </w:pPr>
            <w:r w:rsidRPr="00C95F75">
              <w:rPr>
                <w:rFonts w:ascii="Titillium" w:hAnsi="Titillium"/>
                <w:b/>
                <w:bCs/>
                <w:sz w:val="18"/>
                <w:szCs w:val="18"/>
              </w:rPr>
              <w:t>0,6</w:t>
            </w:r>
            <w:r w:rsidRPr="00C95F75">
              <w:rPr>
                <w:rFonts w:ascii="Titillium" w:hAnsi="Titillium"/>
                <w:sz w:val="18"/>
                <w:szCs w:val="18"/>
              </w:rPr>
              <w:t xml:space="preserve"> </w:t>
            </w:r>
          </w:p>
        </w:tc>
        <w:tc>
          <w:tcPr>
            <w:tcW w:w="7088" w:type="dxa"/>
            <w:hideMark/>
          </w:tcPr>
          <w:p w14:paraId="0BBCEC69" w14:textId="77777777" w:rsidR="00C95F75" w:rsidRPr="00C95F75" w:rsidRDefault="00C95F75" w:rsidP="00C95F75">
            <w:pPr>
              <w:spacing w:before="60" w:after="60"/>
              <w:rPr>
                <w:rFonts w:ascii="Titillium" w:hAnsi="Titillium"/>
                <w:sz w:val="18"/>
                <w:szCs w:val="18"/>
              </w:rPr>
            </w:pPr>
            <w:r w:rsidRPr="00C95F75">
              <w:rPr>
                <w:rFonts w:ascii="Titillium" w:hAnsi="Titillium"/>
                <w:sz w:val="18"/>
                <w:szCs w:val="18"/>
              </w:rPr>
              <w:t>L'elemento oggetto di valutazione è trattato in misura accettabile dal punto di vista tecnico e funzionale. I contenuti sono in linea con quanto richiesto dalla documentazione di gara, con elementi descritti in maniera chiara.</w:t>
            </w:r>
          </w:p>
        </w:tc>
      </w:tr>
      <w:tr w:rsidR="00C95F75" w:rsidRPr="00C95F75" w14:paraId="74E19296" w14:textId="77777777" w:rsidTr="0035397B">
        <w:trPr>
          <w:trHeight w:val="980"/>
        </w:trPr>
        <w:tc>
          <w:tcPr>
            <w:tcW w:w="2122" w:type="dxa"/>
            <w:hideMark/>
          </w:tcPr>
          <w:p w14:paraId="73AC571C" w14:textId="77777777" w:rsidR="00C95F75" w:rsidRPr="00C95F75" w:rsidRDefault="00C95F75" w:rsidP="00C95F75">
            <w:pPr>
              <w:spacing w:before="60" w:after="60"/>
              <w:rPr>
                <w:rFonts w:ascii="Titillium" w:hAnsi="Titillium"/>
                <w:b/>
                <w:bCs/>
                <w:sz w:val="18"/>
                <w:szCs w:val="18"/>
              </w:rPr>
            </w:pPr>
            <w:r w:rsidRPr="00C95F75">
              <w:rPr>
                <w:rFonts w:ascii="Titillium" w:hAnsi="Titillium"/>
                <w:b/>
                <w:bCs/>
                <w:sz w:val="18"/>
                <w:szCs w:val="18"/>
              </w:rPr>
              <w:t xml:space="preserve">Sufficiente </w:t>
            </w:r>
            <w:r w:rsidRPr="00C95F75">
              <w:rPr>
                <w:rFonts w:ascii="Titillium" w:hAnsi="Titillium"/>
                <w:b/>
                <w:bCs/>
                <w:sz w:val="18"/>
                <w:szCs w:val="18"/>
              </w:rPr>
              <w:br/>
              <w:t>0,5</w:t>
            </w:r>
            <w:r w:rsidRPr="00C95F75">
              <w:rPr>
                <w:rFonts w:ascii="Titillium" w:hAnsi="Titillium"/>
                <w:sz w:val="18"/>
                <w:szCs w:val="18"/>
              </w:rPr>
              <w:t xml:space="preserve"> </w:t>
            </w:r>
          </w:p>
        </w:tc>
        <w:tc>
          <w:tcPr>
            <w:tcW w:w="7088" w:type="dxa"/>
            <w:hideMark/>
          </w:tcPr>
          <w:p w14:paraId="3596CA74" w14:textId="77777777" w:rsidR="00C95F75" w:rsidRPr="00C95F75" w:rsidRDefault="00C95F75" w:rsidP="00C95F75">
            <w:pPr>
              <w:spacing w:before="60" w:after="60"/>
              <w:rPr>
                <w:rFonts w:ascii="Titillium" w:hAnsi="Titillium"/>
                <w:sz w:val="18"/>
                <w:szCs w:val="18"/>
              </w:rPr>
            </w:pPr>
            <w:r w:rsidRPr="00C95F75">
              <w:rPr>
                <w:rFonts w:ascii="Titillium" w:hAnsi="Titillium"/>
                <w:sz w:val="18"/>
                <w:szCs w:val="18"/>
              </w:rPr>
              <w:t>Descrizione e contenuti sufficienti, quindi modesti, rispetto a quanto richiesto dalla documentazione di gara nonché alle attività da eseguire, con elementi descritti in maniera essenziale</w:t>
            </w:r>
          </w:p>
        </w:tc>
      </w:tr>
      <w:tr w:rsidR="00C95F75" w:rsidRPr="00C95F75" w14:paraId="66988A6C" w14:textId="77777777" w:rsidTr="0035397B">
        <w:trPr>
          <w:trHeight w:val="939"/>
        </w:trPr>
        <w:tc>
          <w:tcPr>
            <w:tcW w:w="2122" w:type="dxa"/>
            <w:hideMark/>
          </w:tcPr>
          <w:p w14:paraId="75D4E1FB" w14:textId="77777777" w:rsidR="00C95F75" w:rsidRDefault="00C95F75" w:rsidP="00C95F75">
            <w:pPr>
              <w:spacing w:before="60" w:after="60"/>
              <w:rPr>
                <w:rFonts w:ascii="Titillium" w:hAnsi="Titillium"/>
                <w:b/>
                <w:bCs/>
                <w:sz w:val="18"/>
                <w:szCs w:val="18"/>
              </w:rPr>
            </w:pPr>
            <w:r w:rsidRPr="00C95F75">
              <w:rPr>
                <w:rFonts w:ascii="Titillium" w:hAnsi="Titillium"/>
                <w:b/>
                <w:bCs/>
                <w:sz w:val="18"/>
                <w:szCs w:val="18"/>
              </w:rPr>
              <w:t xml:space="preserve">Quasi sufficiente </w:t>
            </w:r>
          </w:p>
          <w:p w14:paraId="0CC18B84" w14:textId="7E67F953" w:rsidR="00C95F75" w:rsidRPr="00C95F75" w:rsidRDefault="00C95F75" w:rsidP="00C95F75">
            <w:pPr>
              <w:spacing w:before="60" w:after="60"/>
              <w:rPr>
                <w:rFonts w:ascii="Titillium" w:hAnsi="Titillium"/>
                <w:b/>
                <w:bCs/>
                <w:sz w:val="18"/>
                <w:szCs w:val="18"/>
              </w:rPr>
            </w:pPr>
            <w:r w:rsidRPr="00C95F75">
              <w:rPr>
                <w:rFonts w:ascii="Titillium" w:hAnsi="Titillium"/>
                <w:b/>
                <w:bCs/>
                <w:sz w:val="18"/>
                <w:szCs w:val="18"/>
              </w:rPr>
              <w:t>0,4</w:t>
            </w:r>
            <w:r w:rsidRPr="00C95F75">
              <w:rPr>
                <w:rFonts w:ascii="Titillium" w:hAnsi="Titillium"/>
                <w:sz w:val="18"/>
                <w:szCs w:val="18"/>
              </w:rPr>
              <w:t xml:space="preserve"> </w:t>
            </w:r>
          </w:p>
        </w:tc>
        <w:tc>
          <w:tcPr>
            <w:tcW w:w="7088" w:type="dxa"/>
            <w:hideMark/>
          </w:tcPr>
          <w:p w14:paraId="781206B7" w14:textId="77777777" w:rsidR="00C95F75" w:rsidRPr="00C95F75" w:rsidRDefault="00C95F75" w:rsidP="00C95F75">
            <w:pPr>
              <w:spacing w:before="60" w:after="60"/>
              <w:rPr>
                <w:rFonts w:ascii="Titillium" w:hAnsi="Titillium"/>
                <w:sz w:val="18"/>
                <w:szCs w:val="18"/>
              </w:rPr>
            </w:pPr>
            <w:r w:rsidRPr="00C95F75">
              <w:rPr>
                <w:rFonts w:ascii="Titillium" w:hAnsi="Titillium"/>
                <w:sz w:val="18"/>
                <w:szCs w:val="18"/>
              </w:rPr>
              <w:t>L'elemento oggetto di valutazione è trattato in misura non esauriente dal punto di vista tecnico e funzionale. La soluzione risponde in maniera non pienamente soddisfacente a quanto richiesto.</w:t>
            </w:r>
          </w:p>
        </w:tc>
      </w:tr>
      <w:tr w:rsidR="00C95F75" w:rsidRPr="00C95F75" w14:paraId="531AD0CC" w14:textId="77777777" w:rsidTr="0035397B">
        <w:trPr>
          <w:trHeight w:val="853"/>
        </w:trPr>
        <w:tc>
          <w:tcPr>
            <w:tcW w:w="2122" w:type="dxa"/>
            <w:hideMark/>
          </w:tcPr>
          <w:p w14:paraId="05033977" w14:textId="77777777" w:rsidR="00C95F75" w:rsidRPr="00C95F75" w:rsidRDefault="00C95F75" w:rsidP="00C95F75">
            <w:pPr>
              <w:spacing w:before="60" w:after="60"/>
              <w:rPr>
                <w:rFonts w:ascii="Titillium" w:hAnsi="Titillium"/>
                <w:b/>
                <w:bCs/>
                <w:sz w:val="18"/>
                <w:szCs w:val="18"/>
              </w:rPr>
            </w:pPr>
            <w:r w:rsidRPr="00C95F75">
              <w:rPr>
                <w:rFonts w:ascii="Titillium" w:hAnsi="Titillium"/>
                <w:b/>
                <w:bCs/>
                <w:sz w:val="18"/>
                <w:szCs w:val="18"/>
              </w:rPr>
              <w:t xml:space="preserve">Scarso </w:t>
            </w:r>
            <w:r w:rsidRPr="00C95F75">
              <w:rPr>
                <w:rFonts w:ascii="Titillium" w:hAnsi="Titillium"/>
                <w:b/>
                <w:bCs/>
                <w:sz w:val="18"/>
                <w:szCs w:val="18"/>
              </w:rPr>
              <w:br/>
              <w:t>0,3</w:t>
            </w:r>
            <w:r w:rsidRPr="00C95F75">
              <w:rPr>
                <w:rFonts w:ascii="Titillium" w:hAnsi="Titillium"/>
                <w:sz w:val="18"/>
                <w:szCs w:val="18"/>
              </w:rPr>
              <w:t xml:space="preserve"> </w:t>
            </w:r>
          </w:p>
        </w:tc>
        <w:tc>
          <w:tcPr>
            <w:tcW w:w="7088" w:type="dxa"/>
            <w:hideMark/>
          </w:tcPr>
          <w:p w14:paraId="67C030BE" w14:textId="77777777" w:rsidR="00C95F75" w:rsidRPr="00C95F75" w:rsidRDefault="00C95F75" w:rsidP="00C95F75">
            <w:pPr>
              <w:spacing w:before="60" w:after="60"/>
              <w:rPr>
                <w:rFonts w:ascii="Titillium" w:hAnsi="Titillium"/>
                <w:sz w:val="18"/>
                <w:szCs w:val="18"/>
              </w:rPr>
            </w:pPr>
            <w:r w:rsidRPr="00C95F75">
              <w:rPr>
                <w:rFonts w:ascii="Titillium" w:hAnsi="Titillium"/>
                <w:sz w:val="18"/>
                <w:szCs w:val="18"/>
              </w:rPr>
              <w:t>Descrizione e/o contenuti valutabili. La soluzione proposta risponde in maniera non soddisfacente a quanto richiesto.</w:t>
            </w:r>
          </w:p>
        </w:tc>
      </w:tr>
      <w:tr w:rsidR="00C95F75" w:rsidRPr="00C95F75" w14:paraId="3B88F7A2" w14:textId="77777777" w:rsidTr="0035397B">
        <w:trPr>
          <w:trHeight w:val="770"/>
        </w:trPr>
        <w:tc>
          <w:tcPr>
            <w:tcW w:w="2122" w:type="dxa"/>
            <w:hideMark/>
          </w:tcPr>
          <w:p w14:paraId="46C911E7" w14:textId="77777777" w:rsidR="00C95F75" w:rsidRPr="00C95F75" w:rsidRDefault="00C95F75" w:rsidP="00C95F75">
            <w:pPr>
              <w:spacing w:before="60" w:after="60"/>
              <w:rPr>
                <w:rFonts w:ascii="Titillium" w:hAnsi="Titillium"/>
                <w:b/>
                <w:bCs/>
                <w:sz w:val="18"/>
                <w:szCs w:val="18"/>
              </w:rPr>
            </w:pPr>
            <w:r w:rsidRPr="00C95F75">
              <w:rPr>
                <w:rFonts w:ascii="Titillium" w:hAnsi="Titillium"/>
                <w:b/>
                <w:bCs/>
                <w:sz w:val="18"/>
                <w:szCs w:val="18"/>
              </w:rPr>
              <w:t xml:space="preserve">Insufficiente </w:t>
            </w:r>
            <w:r w:rsidRPr="00C95F75">
              <w:rPr>
                <w:rFonts w:ascii="Titillium" w:hAnsi="Titillium"/>
                <w:b/>
                <w:bCs/>
                <w:sz w:val="18"/>
                <w:szCs w:val="18"/>
              </w:rPr>
              <w:br/>
              <w:t>0,2</w:t>
            </w:r>
            <w:r w:rsidRPr="00C95F75">
              <w:rPr>
                <w:rFonts w:ascii="Titillium" w:hAnsi="Titillium"/>
                <w:sz w:val="18"/>
                <w:szCs w:val="18"/>
              </w:rPr>
              <w:t xml:space="preserve"> </w:t>
            </w:r>
          </w:p>
        </w:tc>
        <w:tc>
          <w:tcPr>
            <w:tcW w:w="7088" w:type="dxa"/>
            <w:hideMark/>
          </w:tcPr>
          <w:p w14:paraId="2AC0A50F" w14:textId="77777777" w:rsidR="00C95F75" w:rsidRPr="00C95F75" w:rsidRDefault="00C95F75" w:rsidP="00C95F75">
            <w:pPr>
              <w:spacing w:before="60" w:after="60"/>
              <w:rPr>
                <w:rFonts w:ascii="Titillium" w:hAnsi="Titillium"/>
                <w:sz w:val="18"/>
                <w:szCs w:val="18"/>
              </w:rPr>
            </w:pPr>
            <w:r w:rsidRPr="00C95F75">
              <w:rPr>
                <w:rFonts w:ascii="Titillium" w:hAnsi="Titillium"/>
                <w:sz w:val="18"/>
                <w:szCs w:val="18"/>
              </w:rPr>
              <w:t xml:space="preserve">Descrizione e/o contenuti valutabili in maniera superficiale. L'elemento oggetto di valutazione potrebbe essere coerente alle richieste di gara ma risulta poco più che citato dal punto di vista tecnico e funzionale. </w:t>
            </w:r>
          </w:p>
        </w:tc>
      </w:tr>
      <w:tr w:rsidR="00C95F75" w:rsidRPr="00C95F75" w14:paraId="4DA83C8E" w14:textId="77777777" w:rsidTr="0035397B">
        <w:trPr>
          <w:trHeight w:val="844"/>
        </w:trPr>
        <w:tc>
          <w:tcPr>
            <w:tcW w:w="2122" w:type="dxa"/>
            <w:hideMark/>
          </w:tcPr>
          <w:p w14:paraId="1090CAC3" w14:textId="77777777" w:rsidR="00C95F75" w:rsidRPr="00C95F75" w:rsidRDefault="00C95F75" w:rsidP="00C95F75">
            <w:pPr>
              <w:spacing w:before="60" w:after="60"/>
              <w:rPr>
                <w:rFonts w:ascii="Titillium" w:hAnsi="Titillium"/>
                <w:b/>
                <w:bCs/>
                <w:sz w:val="18"/>
                <w:szCs w:val="18"/>
              </w:rPr>
            </w:pPr>
            <w:r w:rsidRPr="00C95F75">
              <w:rPr>
                <w:rFonts w:ascii="Titillium" w:hAnsi="Titillium"/>
                <w:b/>
                <w:bCs/>
                <w:sz w:val="18"/>
                <w:szCs w:val="18"/>
              </w:rPr>
              <w:t xml:space="preserve">Gravemente insufficiente </w:t>
            </w:r>
            <w:r w:rsidRPr="00C95F75">
              <w:rPr>
                <w:rFonts w:ascii="Titillium" w:hAnsi="Titillium"/>
                <w:b/>
                <w:bCs/>
                <w:sz w:val="18"/>
                <w:szCs w:val="18"/>
              </w:rPr>
              <w:br/>
              <w:t>0,1</w:t>
            </w:r>
            <w:r w:rsidRPr="00C95F75">
              <w:rPr>
                <w:rFonts w:ascii="Titillium" w:hAnsi="Titillium"/>
                <w:sz w:val="18"/>
                <w:szCs w:val="18"/>
              </w:rPr>
              <w:t xml:space="preserve"> </w:t>
            </w:r>
          </w:p>
        </w:tc>
        <w:tc>
          <w:tcPr>
            <w:tcW w:w="7088" w:type="dxa"/>
            <w:hideMark/>
          </w:tcPr>
          <w:p w14:paraId="1DBF4434" w14:textId="77777777" w:rsidR="00C95F75" w:rsidRPr="00C95F75" w:rsidRDefault="00C95F75" w:rsidP="00C95F75">
            <w:pPr>
              <w:spacing w:before="60" w:after="60"/>
              <w:rPr>
                <w:rFonts w:ascii="Titillium" w:hAnsi="Titillium"/>
                <w:sz w:val="18"/>
                <w:szCs w:val="18"/>
              </w:rPr>
            </w:pPr>
            <w:r w:rsidRPr="00C95F75">
              <w:rPr>
                <w:rFonts w:ascii="Titillium" w:hAnsi="Titillium"/>
                <w:sz w:val="18"/>
                <w:szCs w:val="18"/>
              </w:rPr>
              <w:t>Descrizione e/o contenuti approssimativi. La soluzione proposta risponde in maniera assolutamente non adeguata a quanto richiesto.</w:t>
            </w:r>
          </w:p>
        </w:tc>
      </w:tr>
      <w:tr w:rsidR="00C95F75" w:rsidRPr="00C95F75" w14:paraId="6DD44303" w14:textId="77777777" w:rsidTr="0035397B">
        <w:trPr>
          <w:trHeight w:val="786"/>
        </w:trPr>
        <w:tc>
          <w:tcPr>
            <w:tcW w:w="2122" w:type="dxa"/>
            <w:hideMark/>
          </w:tcPr>
          <w:p w14:paraId="4A28003B" w14:textId="77777777" w:rsidR="00C95F75" w:rsidRPr="00C95F75" w:rsidRDefault="00C95F75" w:rsidP="00C95F75">
            <w:pPr>
              <w:spacing w:before="60" w:after="60"/>
              <w:rPr>
                <w:rFonts w:ascii="Titillium" w:hAnsi="Titillium"/>
                <w:b/>
                <w:bCs/>
                <w:sz w:val="18"/>
                <w:szCs w:val="18"/>
              </w:rPr>
            </w:pPr>
            <w:r w:rsidRPr="00C95F75">
              <w:rPr>
                <w:rFonts w:ascii="Titillium" w:hAnsi="Titillium"/>
                <w:b/>
                <w:bCs/>
                <w:sz w:val="18"/>
                <w:szCs w:val="18"/>
              </w:rPr>
              <w:t xml:space="preserve">Assente o non valutabile </w:t>
            </w:r>
            <w:r w:rsidRPr="00C95F75">
              <w:rPr>
                <w:rFonts w:ascii="Titillium" w:hAnsi="Titillium"/>
                <w:b/>
                <w:bCs/>
                <w:sz w:val="18"/>
                <w:szCs w:val="18"/>
              </w:rPr>
              <w:br/>
              <w:t>0,0</w:t>
            </w:r>
            <w:r w:rsidRPr="00C95F75">
              <w:rPr>
                <w:rFonts w:ascii="Titillium" w:hAnsi="Titillium"/>
                <w:sz w:val="18"/>
                <w:szCs w:val="18"/>
              </w:rPr>
              <w:t xml:space="preserve"> </w:t>
            </w:r>
          </w:p>
        </w:tc>
        <w:tc>
          <w:tcPr>
            <w:tcW w:w="7088" w:type="dxa"/>
            <w:hideMark/>
          </w:tcPr>
          <w:p w14:paraId="7B9DBFCE" w14:textId="77777777" w:rsidR="00C95F75" w:rsidRPr="00C95F75" w:rsidRDefault="00C95F75" w:rsidP="00C95F75">
            <w:pPr>
              <w:spacing w:before="60" w:after="60"/>
              <w:rPr>
                <w:rFonts w:ascii="Titillium" w:hAnsi="Titillium"/>
                <w:sz w:val="18"/>
                <w:szCs w:val="18"/>
              </w:rPr>
            </w:pPr>
            <w:r w:rsidRPr="00C95F75">
              <w:rPr>
                <w:rFonts w:ascii="Titillium" w:hAnsi="Titillium"/>
                <w:sz w:val="18"/>
                <w:szCs w:val="18"/>
              </w:rPr>
              <w:t>Descrizione e/o contenuti assenti o descritti in modo non valutabile rispetto a quanto richiesto. L'elemento oggetto di valutazione non è offerto o non è stato trattato o è completamente fuori tema.</w:t>
            </w:r>
          </w:p>
        </w:tc>
      </w:tr>
    </w:tbl>
    <w:p w14:paraId="64A22709" w14:textId="77777777" w:rsidR="0011583A" w:rsidRPr="0011583A" w:rsidRDefault="0011583A" w:rsidP="00C636D5">
      <w:pPr>
        <w:spacing w:before="60" w:after="60"/>
        <w:rPr>
          <w:rFonts w:ascii="Titillium" w:hAnsi="Titillium"/>
          <w:sz w:val="18"/>
          <w:szCs w:val="18"/>
        </w:rPr>
      </w:pPr>
    </w:p>
    <w:p w14:paraId="721A2D15" w14:textId="14E09460" w:rsidR="0011583A" w:rsidRPr="0011583A" w:rsidRDefault="0011583A" w:rsidP="0011583A">
      <w:pPr>
        <w:spacing w:before="60" w:after="60"/>
        <w:rPr>
          <w:rFonts w:ascii="Titillium" w:hAnsi="Titillium"/>
          <w:sz w:val="18"/>
          <w:szCs w:val="18"/>
        </w:rPr>
      </w:pPr>
      <w:r w:rsidRPr="0011583A">
        <w:rPr>
          <w:rFonts w:ascii="Titillium" w:hAnsi="Titillium"/>
          <w:sz w:val="18"/>
          <w:szCs w:val="18"/>
        </w:rPr>
        <w:t xml:space="preserve">Quanto agli elementi cui è assegnato un punteggio tabellare identificato dalla colonna </w:t>
      </w:r>
      <w:r w:rsidRPr="0011583A">
        <w:rPr>
          <w:rFonts w:ascii="Titillium" w:hAnsi="Titillium"/>
          <w:b/>
          <w:sz w:val="18"/>
          <w:szCs w:val="18"/>
        </w:rPr>
        <w:t xml:space="preserve">(T) </w:t>
      </w:r>
      <w:r w:rsidRPr="0011583A">
        <w:rPr>
          <w:rFonts w:ascii="Titillium" w:hAnsi="Titillium"/>
          <w:sz w:val="18"/>
          <w:szCs w:val="18"/>
        </w:rPr>
        <w:t>della tabella, il relativo punteggio è</w:t>
      </w:r>
      <w:r w:rsidR="00855407">
        <w:rPr>
          <w:rFonts w:ascii="Titillium" w:hAnsi="Titillium"/>
          <w:sz w:val="18"/>
          <w:szCs w:val="18"/>
        </w:rPr>
        <w:t xml:space="preserve"> </w:t>
      </w:r>
      <w:r w:rsidRPr="0011583A">
        <w:rPr>
          <w:rFonts w:ascii="Titillium" w:hAnsi="Titillium"/>
          <w:sz w:val="18"/>
          <w:szCs w:val="18"/>
        </w:rPr>
        <w:t xml:space="preserve">assegnato, automaticamente e in valore assoluto, sulla base della presenza o assenza nell’offerta, dell’elemento richiesto. </w:t>
      </w:r>
    </w:p>
    <w:p w14:paraId="2E63C562" w14:textId="77777777" w:rsidR="00855407" w:rsidRPr="00855407" w:rsidRDefault="00855407" w:rsidP="00855407">
      <w:pPr>
        <w:spacing w:before="60" w:after="60"/>
        <w:rPr>
          <w:rFonts w:ascii="Titillium" w:hAnsi="Titillium"/>
          <w:sz w:val="18"/>
          <w:szCs w:val="18"/>
        </w:rPr>
      </w:pPr>
      <w:r w:rsidRPr="00855407">
        <w:rPr>
          <w:rFonts w:ascii="Titillium" w:hAnsi="Titillium"/>
          <w:sz w:val="18"/>
          <w:szCs w:val="18"/>
        </w:rPr>
        <w:t>A ciascun concorrente sarà assegnato infine un punteggio complessivo relativo all'offerta tecnica, ottenuto dalla somma dei singoli punteggi assegnati per ciascun sub-criterio sulla base di quanto sopra previsto.</w:t>
      </w:r>
    </w:p>
    <w:p w14:paraId="28CFCE96" w14:textId="0F41E77E" w:rsidR="004C53A8" w:rsidRDefault="00E2725E" w:rsidP="00FC14CD">
      <w:pPr>
        <w:pStyle w:val="Titolo3"/>
        <w:numPr>
          <w:ilvl w:val="0"/>
          <w:numId w:val="0"/>
        </w:numPr>
      </w:pPr>
      <w:bookmarkStart w:id="1808" w:name="_Ref498421792"/>
      <w:bookmarkStart w:id="1809" w:name="_Toc89270307"/>
      <w:bookmarkEnd w:id="1806"/>
      <w:bookmarkEnd w:id="1807"/>
      <w:r>
        <w:rPr>
          <w:rFonts w:ascii="Titillium" w:hAnsi="Titillium"/>
          <w:iCs/>
          <w:caps w:val="0"/>
          <w:sz w:val="18"/>
          <w:szCs w:val="18"/>
          <w:lang w:val="it-IT"/>
        </w:rPr>
        <w:t>18</w:t>
      </w:r>
      <w:r w:rsidR="00FC14CD">
        <w:rPr>
          <w:rFonts w:ascii="Titillium" w:hAnsi="Titillium"/>
          <w:iCs/>
          <w:caps w:val="0"/>
          <w:sz w:val="18"/>
          <w:szCs w:val="18"/>
          <w:lang w:val="it-IT"/>
        </w:rPr>
        <w:t xml:space="preserve">.2 </w:t>
      </w:r>
      <w:r w:rsidR="004C667D">
        <w:rPr>
          <w:rFonts w:ascii="Titillium" w:hAnsi="Titillium"/>
          <w:iCs/>
          <w:caps w:val="0"/>
          <w:sz w:val="18"/>
          <w:szCs w:val="18"/>
        </w:rPr>
        <w:t xml:space="preserve">METODO DI ATTRIBUZIONE DEL </w:t>
      </w:r>
      <w:r w:rsidR="00BA5BE2">
        <w:rPr>
          <w:rFonts w:ascii="Titillium" w:hAnsi="Titillium"/>
          <w:iCs/>
          <w:caps w:val="0"/>
          <w:sz w:val="18"/>
          <w:szCs w:val="18"/>
          <w:lang w:val="it-IT"/>
        </w:rPr>
        <w:t>COEFFICIENTE</w:t>
      </w:r>
      <w:r w:rsidR="004C667D">
        <w:rPr>
          <w:rFonts w:ascii="Titillium" w:hAnsi="Titillium"/>
          <w:iCs/>
          <w:caps w:val="0"/>
          <w:sz w:val="18"/>
          <w:szCs w:val="18"/>
        </w:rPr>
        <w:t xml:space="preserve"> PER IL CALCOLO DEL PUNTEGGIO DELL’OFFERTA ECONOMICA</w:t>
      </w:r>
      <w:bookmarkEnd w:id="1808"/>
      <w:bookmarkEnd w:id="1809"/>
      <w:r w:rsidR="004C667D">
        <w:rPr>
          <w:rFonts w:ascii="Titillium" w:hAnsi="Titillium"/>
          <w:iCs/>
          <w:caps w:val="0"/>
          <w:sz w:val="18"/>
          <w:szCs w:val="18"/>
        </w:rPr>
        <w:t xml:space="preserve"> </w:t>
      </w:r>
    </w:p>
    <w:p w14:paraId="24CFB628" w14:textId="46DBB9A1" w:rsidR="00F66C41" w:rsidRPr="00BA5BE2" w:rsidRDefault="004B43CC" w:rsidP="00BA5BE2">
      <w:pPr>
        <w:autoSpaceDE w:val="0"/>
        <w:autoSpaceDN w:val="0"/>
        <w:adjustRightInd w:val="0"/>
        <w:spacing w:line="240" w:lineRule="auto"/>
        <w:jc w:val="left"/>
        <w:rPr>
          <w:rFonts w:ascii="CIDFont+F3" w:eastAsia="Calibri" w:hAnsi="CIDFont+F3" w:cs="CIDFont+F3"/>
          <w:sz w:val="18"/>
          <w:szCs w:val="18"/>
        </w:rPr>
      </w:pPr>
      <w:r>
        <w:rPr>
          <w:rFonts w:ascii="CIDFont+F3" w:eastAsia="Calibri" w:hAnsi="CIDFont+F3" w:cs="CIDFont+F3"/>
          <w:sz w:val="18"/>
          <w:szCs w:val="18"/>
        </w:rPr>
        <w:t>A</w:t>
      </w:r>
      <w:r w:rsidRPr="004B43CC">
        <w:rPr>
          <w:rFonts w:ascii="CIDFont+F3" w:eastAsia="Calibri" w:hAnsi="CIDFont+F3" w:cs="CIDFont+F3"/>
          <w:sz w:val="18"/>
          <w:szCs w:val="18"/>
        </w:rPr>
        <w:t>ll’offerta economica è attribuito un coefficiente, variabile da zero ad uno</w:t>
      </w:r>
      <w:r w:rsidR="00BA5BE2">
        <w:rPr>
          <w:rFonts w:ascii="CIDFont+F3" w:eastAsia="Calibri" w:hAnsi="CIDFont+F3" w:cs="CIDFont+F3"/>
          <w:sz w:val="18"/>
          <w:szCs w:val="18"/>
          <w:lang w:eastAsia="it-IT"/>
        </w:rPr>
        <w:t>, calcolato tramite la formula seguente:</w:t>
      </w:r>
    </w:p>
    <w:p w14:paraId="04855680" w14:textId="77777777" w:rsidR="004869D5" w:rsidRPr="004869D5" w:rsidRDefault="004869D5" w:rsidP="00A70DB1">
      <w:pPr>
        <w:spacing w:before="60" w:after="60"/>
        <w:rPr>
          <w:rFonts w:ascii="Titillium" w:hAnsi="Titillium"/>
          <w:sz w:val="18"/>
          <w:szCs w:val="18"/>
        </w:rPr>
      </w:pPr>
    </w:p>
    <w:tbl>
      <w:tblPr>
        <w:tblW w:w="8222" w:type="dxa"/>
        <w:tblInd w:w="704" w:type="dxa"/>
        <w:tblLayout w:type="fixed"/>
        <w:tblCellMar>
          <w:left w:w="10" w:type="dxa"/>
          <w:right w:w="10" w:type="dxa"/>
        </w:tblCellMar>
        <w:tblLook w:val="04A0" w:firstRow="1" w:lastRow="0" w:firstColumn="1" w:lastColumn="0" w:noHBand="0" w:noVBand="1"/>
      </w:tblPr>
      <w:tblGrid>
        <w:gridCol w:w="8222"/>
      </w:tblGrid>
      <w:tr w:rsidR="004869D5" w14:paraId="7E139A66" w14:textId="77777777" w:rsidTr="004869D5">
        <w:tc>
          <w:tcPr>
            <w:tcW w:w="8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F0AABB" w14:textId="77777777" w:rsidR="004869D5" w:rsidRDefault="004869D5" w:rsidP="0022031B">
            <w:pPr>
              <w:pStyle w:val="TableParagraph"/>
              <w:snapToGrid w:val="0"/>
              <w:jc w:val="both"/>
              <w:rPr>
                <w:rFonts w:cs="Verdana"/>
                <w:sz w:val="16"/>
                <w:szCs w:val="16"/>
              </w:rPr>
            </w:pPr>
          </w:p>
          <w:p w14:paraId="6FD2866C" w14:textId="42CC1860" w:rsidR="004869D5" w:rsidRPr="004869D5" w:rsidRDefault="004869D5" w:rsidP="004869D5">
            <w:pPr>
              <w:spacing w:before="60" w:after="60"/>
              <w:jc w:val="center"/>
              <w:rPr>
                <w:rFonts w:ascii="Titillium" w:hAnsi="Titillium"/>
                <w:sz w:val="20"/>
                <w:szCs w:val="20"/>
              </w:rPr>
            </w:pPr>
            <w:r w:rsidRPr="004869D5">
              <w:rPr>
                <w:rFonts w:ascii="Titillium" w:hAnsi="Titillium"/>
                <w:sz w:val="20"/>
                <w:szCs w:val="20"/>
              </w:rPr>
              <w:t>Ci (per Ai &lt;= A soglia) = X * (Ai / A soglia)</w:t>
            </w:r>
          </w:p>
          <w:p w14:paraId="7A7BC9CD" w14:textId="2ACFE02F" w:rsidR="004869D5" w:rsidRPr="004869D5" w:rsidRDefault="004869D5" w:rsidP="004869D5">
            <w:pPr>
              <w:spacing w:before="60" w:after="60"/>
              <w:jc w:val="center"/>
              <w:rPr>
                <w:rFonts w:ascii="Titillium" w:hAnsi="Titillium"/>
                <w:sz w:val="20"/>
                <w:szCs w:val="20"/>
              </w:rPr>
            </w:pPr>
            <w:r w:rsidRPr="004869D5">
              <w:rPr>
                <w:rFonts w:ascii="Titillium" w:hAnsi="Titillium"/>
                <w:sz w:val="20"/>
                <w:szCs w:val="20"/>
              </w:rPr>
              <w:t>Ci (per Ai &gt; A soglia) = X + (1,00 - X) * [(Ai – A soglia) / (A max – A soglia)]</w:t>
            </w:r>
          </w:p>
          <w:p w14:paraId="79F9C550" w14:textId="77777777" w:rsidR="004869D5" w:rsidRDefault="004869D5" w:rsidP="0022031B">
            <w:pPr>
              <w:pStyle w:val="TableParagraph"/>
              <w:jc w:val="both"/>
              <w:rPr>
                <w:rFonts w:cs="Verdana"/>
                <w:sz w:val="16"/>
                <w:szCs w:val="16"/>
              </w:rPr>
            </w:pPr>
          </w:p>
        </w:tc>
      </w:tr>
    </w:tbl>
    <w:p w14:paraId="3C2CF14D" w14:textId="77777777" w:rsidR="003264BF" w:rsidRPr="00A70DB1" w:rsidRDefault="003264BF" w:rsidP="00A70DB1">
      <w:pPr>
        <w:spacing w:before="60" w:after="60"/>
        <w:rPr>
          <w:rFonts w:ascii="Titillium" w:hAnsi="Titillium"/>
          <w:b/>
          <w:sz w:val="18"/>
          <w:szCs w:val="18"/>
        </w:rPr>
      </w:pPr>
    </w:p>
    <w:p w14:paraId="4FE6BA4D" w14:textId="77777777" w:rsidR="004C53A8" w:rsidRDefault="00870286">
      <w:pPr>
        <w:spacing w:before="60" w:after="60"/>
        <w:rPr>
          <w:rFonts w:ascii="Titillium" w:hAnsi="Titillium"/>
          <w:sz w:val="18"/>
          <w:szCs w:val="18"/>
        </w:rPr>
      </w:pPr>
      <w:r>
        <w:rPr>
          <w:rFonts w:ascii="Titillium" w:hAnsi="Titillium"/>
          <w:sz w:val="18"/>
          <w:szCs w:val="18"/>
        </w:rPr>
        <w:t>dove</w:t>
      </w:r>
    </w:p>
    <w:p w14:paraId="6185FD14" w14:textId="77777777" w:rsidR="004C53A8" w:rsidRDefault="00A2714F">
      <w:pPr>
        <w:spacing w:before="60" w:after="60"/>
      </w:pPr>
      <m:oMath>
        <m:sSub>
          <m:sSubPr>
            <m:ctrlPr>
              <w:rPr>
                <w:rFonts w:ascii="Cambria Math" w:hAnsi="Cambria Math"/>
              </w:rPr>
            </m:ctrlPr>
          </m:sSubPr>
          <m:e>
            <m:r>
              <w:rPr>
                <w:rFonts w:ascii="Cambria Math" w:hAnsi="Cambria Math"/>
              </w:rPr>
              <m:t>C</m:t>
            </m:r>
          </m:e>
          <m:sub>
            <m:r>
              <w:rPr>
                <w:rFonts w:ascii="Cambria Math" w:hAnsi="Cambria Math"/>
              </w:rPr>
              <m:t>i</m:t>
            </m:r>
          </m:sub>
        </m:sSub>
      </m:oMath>
      <w:r w:rsidR="00870286">
        <w:rPr>
          <w:rFonts w:ascii="Titillium" w:hAnsi="Titillium"/>
          <w:sz w:val="18"/>
          <w:szCs w:val="18"/>
        </w:rPr>
        <w:t xml:space="preserve"> = coefficiente attribuito al concorrente i-esimo</w:t>
      </w:r>
    </w:p>
    <w:p w14:paraId="3093A53F" w14:textId="77777777" w:rsidR="00FB7F91" w:rsidRPr="00FB7F91" w:rsidRDefault="00FB7F91" w:rsidP="00FB7F91">
      <w:pPr>
        <w:spacing w:before="60" w:after="60"/>
        <w:rPr>
          <w:rFonts w:ascii="Titillium" w:hAnsi="Titillium"/>
          <w:i/>
          <w:sz w:val="18"/>
          <w:szCs w:val="18"/>
        </w:rPr>
      </w:pPr>
      <w:r w:rsidRPr="00FB7F91">
        <w:rPr>
          <w:rFonts w:ascii="Titillium" w:hAnsi="Titillium"/>
          <w:i/>
          <w:sz w:val="18"/>
          <w:szCs w:val="18"/>
        </w:rPr>
        <w:t>dove:</w:t>
      </w:r>
    </w:p>
    <w:p w14:paraId="2B3723E6" w14:textId="7F2D9E9D" w:rsidR="00FB7F91" w:rsidRPr="00FB7F91" w:rsidRDefault="00FB7F91" w:rsidP="00FB7F91">
      <w:pPr>
        <w:spacing w:before="60" w:after="60"/>
        <w:rPr>
          <w:rFonts w:ascii="Titillium" w:hAnsi="Titillium"/>
          <w:i/>
          <w:sz w:val="18"/>
          <w:szCs w:val="18"/>
        </w:rPr>
      </w:pPr>
      <w:r w:rsidRPr="00FB7F91">
        <w:rPr>
          <w:rFonts w:ascii="Titillium" w:hAnsi="Titillium"/>
          <w:i/>
          <w:sz w:val="18"/>
          <w:szCs w:val="18"/>
        </w:rPr>
        <w:t>Ci = coefficiente attribuito al concorrente i-esimo (da moltiplicare per il punteggio massimo previsto</w:t>
      </w:r>
      <w:r w:rsidR="004544E8">
        <w:rPr>
          <w:rFonts w:ascii="Titillium" w:hAnsi="Titillium"/>
          <w:i/>
          <w:sz w:val="18"/>
          <w:szCs w:val="18"/>
        </w:rPr>
        <w:t xml:space="preserve"> = </w:t>
      </w:r>
      <w:r w:rsidR="00AB362F">
        <w:rPr>
          <w:rFonts w:ascii="Titillium" w:hAnsi="Titillium"/>
          <w:i/>
          <w:sz w:val="18"/>
          <w:szCs w:val="18"/>
        </w:rPr>
        <w:t>20</w:t>
      </w:r>
      <w:r w:rsidRPr="00FB7F91">
        <w:rPr>
          <w:rFonts w:ascii="Titillium" w:hAnsi="Titillium"/>
          <w:i/>
          <w:sz w:val="18"/>
          <w:szCs w:val="18"/>
        </w:rPr>
        <w:t>)</w:t>
      </w:r>
    </w:p>
    <w:p w14:paraId="7D69095D" w14:textId="77777777" w:rsidR="00FB7F91" w:rsidRPr="00FB7F91" w:rsidRDefault="00FB7F91" w:rsidP="00FB7F91">
      <w:pPr>
        <w:spacing w:before="60" w:after="60"/>
        <w:rPr>
          <w:rFonts w:ascii="Titillium" w:hAnsi="Titillium"/>
          <w:i/>
          <w:sz w:val="18"/>
          <w:szCs w:val="18"/>
        </w:rPr>
      </w:pPr>
      <w:r w:rsidRPr="00FB7F91">
        <w:rPr>
          <w:rFonts w:ascii="Titillium" w:hAnsi="Titillium"/>
          <w:i/>
          <w:sz w:val="18"/>
          <w:szCs w:val="18"/>
        </w:rPr>
        <w:t>Ai = valore dell’offerta (ribasso) del concorrente i-esimo</w:t>
      </w:r>
    </w:p>
    <w:p w14:paraId="41993AAF" w14:textId="77777777" w:rsidR="00FB7F91" w:rsidRPr="00FB7F91" w:rsidRDefault="00FB7F91" w:rsidP="00FB7F91">
      <w:pPr>
        <w:spacing w:before="60" w:after="60"/>
        <w:rPr>
          <w:rFonts w:ascii="Titillium" w:hAnsi="Titillium"/>
          <w:i/>
          <w:sz w:val="18"/>
          <w:szCs w:val="18"/>
        </w:rPr>
      </w:pPr>
      <w:r w:rsidRPr="00FB7F91">
        <w:rPr>
          <w:rFonts w:ascii="Titillium" w:hAnsi="Titillium"/>
          <w:i/>
          <w:sz w:val="18"/>
          <w:szCs w:val="18"/>
        </w:rPr>
        <w:t>Asoglia = media aritmetica dei valori delle offerte (ribassi) dei concorrenti</w:t>
      </w:r>
    </w:p>
    <w:p w14:paraId="0F1952F5" w14:textId="06D072E0" w:rsidR="00FB7F91" w:rsidRPr="00FB7F91" w:rsidRDefault="00FB7F91" w:rsidP="00FB7F91">
      <w:pPr>
        <w:spacing w:before="60" w:after="60"/>
        <w:rPr>
          <w:rFonts w:ascii="Titillium" w:hAnsi="Titillium"/>
          <w:i/>
          <w:sz w:val="18"/>
          <w:szCs w:val="18"/>
        </w:rPr>
      </w:pPr>
      <w:r w:rsidRPr="00FB7F91">
        <w:rPr>
          <w:rFonts w:ascii="Titillium" w:hAnsi="Titillium"/>
          <w:i/>
          <w:sz w:val="18"/>
          <w:szCs w:val="18"/>
        </w:rPr>
        <w:lastRenderedPageBreak/>
        <w:t xml:space="preserve">X = 0,90  </w:t>
      </w:r>
    </w:p>
    <w:p w14:paraId="29EB4015" w14:textId="77777777" w:rsidR="00FB7F91" w:rsidRPr="00FB7F91" w:rsidRDefault="00FB7F91" w:rsidP="00FB7F91">
      <w:pPr>
        <w:spacing w:before="60" w:after="60"/>
        <w:rPr>
          <w:rFonts w:ascii="Titillium" w:hAnsi="Titillium"/>
          <w:i/>
          <w:szCs w:val="24"/>
        </w:rPr>
      </w:pPr>
      <w:r w:rsidRPr="00FB7F91">
        <w:rPr>
          <w:rFonts w:ascii="Titillium" w:hAnsi="Titillium"/>
          <w:i/>
          <w:sz w:val="18"/>
          <w:szCs w:val="18"/>
        </w:rPr>
        <w:t>Amax = valore dell’offerta (ribasso) più conveniente</w:t>
      </w:r>
      <w:r w:rsidRPr="00FB7F91">
        <w:rPr>
          <w:rFonts w:ascii="Titillium" w:hAnsi="Titillium"/>
          <w:i/>
          <w:szCs w:val="24"/>
        </w:rPr>
        <w:t>.</w:t>
      </w:r>
    </w:p>
    <w:p w14:paraId="6A9D9121" w14:textId="77777777" w:rsidR="00473A92" w:rsidRDefault="00473A92" w:rsidP="00FB7F91">
      <w:pPr>
        <w:spacing w:before="60" w:after="60"/>
        <w:rPr>
          <w:rFonts w:ascii="Titillium" w:hAnsi="Titillium"/>
          <w:i/>
          <w:sz w:val="18"/>
          <w:szCs w:val="18"/>
        </w:rPr>
      </w:pPr>
    </w:p>
    <w:p w14:paraId="54F8379F" w14:textId="23CC2B15" w:rsidR="00FB7F91" w:rsidRPr="00FB7F91" w:rsidRDefault="00FB7F91" w:rsidP="00FB7F91">
      <w:pPr>
        <w:spacing w:before="60" w:after="60"/>
        <w:rPr>
          <w:rFonts w:ascii="Titillium" w:hAnsi="Titillium"/>
          <w:i/>
          <w:sz w:val="18"/>
          <w:szCs w:val="18"/>
        </w:rPr>
      </w:pPr>
      <w:r w:rsidRPr="00FB7F91">
        <w:rPr>
          <w:rFonts w:ascii="Titillium" w:hAnsi="Titillium"/>
          <w:i/>
          <w:sz w:val="18"/>
          <w:szCs w:val="18"/>
        </w:rPr>
        <w:t>La suddetta formula può essere esplicitata come segue.</w:t>
      </w:r>
    </w:p>
    <w:p w14:paraId="6D5D42AE" w14:textId="51FEAB29" w:rsidR="00FB7F91" w:rsidRPr="00FB7F91" w:rsidRDefault="00FB7F91" w:rsidP="00FB7F91">
      <w:pPr>
        <w:spacing w:before="60" w:after="60"/>
        <w:rPr>
          <w:rFonts w:ascii="Titillium" w:hAnsi="Titillium"/>
          <w:i/>
          <w:sz w:val="18"/>
          <w:szCs w:val="18"/>
        </w:rPr>
      </w:pPr>
      <w:r w:rsidRPr="00FB7F91">
        <w:rPr>
          <w:rFonts w:ascii="Titillium" w:hAnsi="Titillium"/>
          <w:i/>
          <w:sz w:val="18"/>
          <w:szCs w:val="18"/>
        </w:rPr>
        <w:t>La Commissione stabilisce prioritariamente la media aritmetica di tutti i ribassi offerti, applicando, alternativamente (a seconda che la percentuale di ribasso offerta dal concorrente considerato sia</w:t>
      </w:r>
      <w:r w:rsidR="00A73D7D">
        <w:rPr>
          <w:rFonts w:ascii="Titillium" w:hAnsi="Titillium"/>
          <w:i/>
          <w:sz w:val="18"/>
          <w:szCs w:val="18"/>
        </w:rPr>
        <w:t xml:space="preserve"> </w:t>
      </w:r>
      <w:r w:rsidRPr="00FB7F91">
        <w:rPr>
          <w:rFonts w:ascii="Titillium" w:hAnsi="Titillium"/>
          <w:i/>
          <w:sz w:val="18"/>
          <w:szCs w:val="18"/>
        </w:rPr>
        <w:t xml:space="preserve">uguale/inferiore ovvero superiore alla predetta media), le </w:t>
      </w:r>
      <w:r w:rsidR="005B0779" w:rsidRPr="00FB7F91">
        <w:rPr>
          <w:rFonts w:ascii="Titillium" w:hAnsi="Titillium"/>
          <w:i/>
          <w:sz w:val="18"/>
          <w:szCs w:val="18"/>
        </w:rPr>
        <w:t>sottoindicate</w:t>
      </w:r>
      <w:r w:rsidRPr="00FB7F91">
        <w:rPr>
          <w:rFonts w:ascii="Titillium" w:hAnsi="Titillium"/>
          <w:i/>
          <w:sz w:val="18"/>
          <w:szCs w:val="18"/>
        </w:rPr>
        <w:t xml:space="preserve"> formule:</w:t>
      </w:r>
    </w:p>
    <w:p w14:paraId="2DD3F37D" w14:textId="77777777" w:rsidR="00FB7F91" w:rsidRPr="00FB7F91" w:rsidRDefault="00FB7F91" w:rsidP="00FB7F91">
      <w:pPr>
        <w:spacing w:before="60" w:after="60"/>
        <w:rPr>
          <w:rFonts w:ascii="Titillium" w:hAnsi="Titillium"/>
          <w:i/>
          <w:sz w:val="18"/>
          <w:szCs w:val="18"/>
        </w:rPr>
      </w:pPr>
    </w:p>
    <w:p w14:paraId="3730DA01" w14:textId="77777777" w:rsidR="00FB7F91" w:rsidRPr="00FB7F91" w:rsidRDefault="00FB7F91" w:rsidP="00FB7F91">
      <w:pPr>
        <w:spacing w:before="60" w:after="60"/>
        <w:rPr>
          <w:rFonts w:ascii="Titillium" w:hAnsi="Titillium"/>
          <w:i/>
          <w:sz w:val="18"/>
          <w:szCs w:val="18"/>
        </w:rPr>
      </w:pPr>
      <w:r w:rsidRPr="00FB7F91">
        <w:rPr>
          <w:rFonts w:ascii="Titillium" w:hAnsi="Titillium"/>
          <w:i/>
          <w:sz w:val="18"/>
          <w:szCs w:val="18"/>
        </w:rPr>
        <w:t>a) Valore dell’offerta del concorrente considerato uguale/inferiore alla media delle offerte:</w:t>
      </w:r>
    </w:p>
    <w:p w14:paraId="682818CD" w14:textId="0D44C09D" w:rsidR="00FB7F91" w:rsidRPr="00FB7F91" w:rsidRDefault="00A73D7D" w:rsidP="00A73D7D">
      <w:pPr>
        <w:spacing w:before="60" w:after="60" w:line="240" w:lineRule="auto"/>
        <w:rPr>
          <w:rFonts w:ascii="Titillium" w:hAnsi="Titillium"/>
          <w:i/>
          <w:sz w:val="18"/>
          <w:szCs w:val="18"/>
        </w:rPr>
      </w:pPr>
      <w:r>
        <w:rPr>
          <w:rFonts w:ascii="Titillium" w:hAnsi="Titillium"/>
          <w:i/>
          <w:sz w:val="18"/>
          <w:szCs w:val="18"/>
        </w:rPr>
        <w:t xml:space="preserve">       </w:t>
      </w:r>
      <w:r w:rsidR="00FB7F91" w:rsidRPr="00FB7F91">
        <w:rPr>
          <w:rFonts w:ascii="Titillium" w:hAnsi="Titillium"/>
          <w:i/>
          <w:sz w:val="18"/>
          <w:szCs w:val="18"/>
        </w:rPr>
        <w:t>Ci =          0,90 x ribasso offerta in esame</w:t>
      </w:r>
    </w:p>
    <w:p w14:paraId="654C5267" w14:textId="34A07738" w:rsidR="00FB7F91" w:rsidRPr="00FB7F91" w:rsidRDefault="00FB7F91" w:rsidP="00A73D7D">
      <w:pPr>
        <w:spacing w:before="60" w:after="60" w:line="240" w:lineRule="auto"/>
        <w:rPr>
          <w:rFonts w:ascii="Titillium" w:hAnsi="Titillium"/>
          <w:i/>
          <w:sz w:val="18"/>
          <w:szCs w:val="18"/>
        </w:rPr>
      </w:pPr>
      <w:r w:rsidRPr="00FB7F91">
        <w:rPr>
          <w:rFonts w:ascii="Titillium" w:hAnsi="Titillium"/>
          <w:i/>
          <w:sz w:val="18"/>
          <w:szCs w:val="18"/>
        </w:rPr>
        <w:t xml:space="preserve">         </w:t>
      </w:r>
      <w:r w:rsidR="00A73D7D">
        <w:rPr>
          <w:rFonts w:ascii="Titillium" w:hAnsi="Titillium"/>
          <w:i/>
          <w:sz w:val="18"/>
          <w:szCs w:val="18"/>
        </w:rPr>
        <w:t xml:space="preserve">      </w:t>
      </w:r>
      <w:r w:rsidRPr="00FB7F91">
        <w:rPr>
          <w:rFonts w:ascii="Titillium" w:hAnsi="Titillium"/>
          <w:i/>
          <w:sz w:val="18"/>
          <w:szCs w:val="18"/>
        </w:rPr>
        <w:t>____________________________</w:t>
      </w:r>
    </w:p>
    <w:p w14:paraId="3C0222C5" w14:textId="4F4A71E3" w:rsidR="00FB7F91" w:rsidRPr="00FB7F91" w:rsidRDefault="00FB7F91" w:rsidP="00A73D7D">
      <w:pPr>
        <w:spacing w:before="60" w:after="60" w:line="240" w:lineRule="auto"/>
        <w:rPr>
          <w:rFonts w:ascii="Titillium" w:hAnsi="Titillium"/>
          <w:i/>
          <w:sz w:val="18"/>
          <w:szCs w:val="18"/>
        </w:rPr>
      </w:pPr>
      <w:r w:rsidRPr="00FB7F91">
        <w:rPr>
          <w:rFonts w:ascii="Titillium" w:hAnsi="Titillium"/>
          <w:i/>
          <w:sz w:val="18"/>
          <w:szCs w:val="18"/>
        </w:rPr>
        <w:t xml:space="preserve">                     </w:t>
      </w:r>
      <w:r w:rsidR="00A73D7D">
        <w:rPr>
          <w:rFonts w:ascii="Titillium" w:hAnsi="Titillium"/>
          <w:i/>
          <w:sz w:val="18"/>
          <w:szCs w:val="18"/>
        </w:rPr>
        <w:t xml:space="preserve">    </w:t>
      </w:r>
      <w:r w:rsidRPr="00FB7F91">
        <w:rPr>
          <w:rFonts w:ascii="Titillium" w:hAnsi="Titillium"/>
          <w:i/>
          <w:sz w:val="18"/>
          <w:szCs w:val="18"/>
        </w:rPr>
        <w:t>media di tutti i ribassi</w:t>
      </w:r>
    </w:p>
    <w:p w14:paraId="38FCA1E1" w14:textId="77777777" w:rsidR="00FB7F91" w:rsidRPr="00FB7F91" w:rsidRDefault="00FB7F91" w:rsidP="00FB7F91">
      <w:pPr>
        <w:spacing w:before="60" w:after="60"/>
        <w:rPr>
          <w:rFonts w:ascii="Titillium" w:hAnsi="Titillium"/>
          <w:i/>
          <w:sz w:val="18"/>
          <w:szCs w:val="18"/>
        </w:rPr>
      </w:pPr>
    </w:p>
    <w:p w14:paraId="4EDB0510" w14:textId="77777777" w:rsidR="00FB7F91" w:rsidRPr="00FB7F91" w:rsidRDefault="00FB7F91" w:rsidP="00FB7F91">
      <w:pPr>
        <w:spacing w:before="60" w:after="60"/>
        <w:rPr>
          <w:rFonts w:ascii="Titillium" w:hAnsi="Titillium"/>
          <w:i/>
          <w:sz w:val="18"/>
          <w:szCs w:val="18"/>
        </w:rPr>
      </w:pPr>
      <w:r w:rsidRPr="00FB7F91">
        <w:rPr>
          <w:rFonts w:ascii="Titillium" w:hAnsi="Titillium"/>
          <w:i/>
          <w:sz w:val="18"/>
          <w:szCs w:val="18"/>
        </w:rPr>
        <w:t>b) Valore dell’offerta del concorrente considerato superiore alla media di tutte le offerte:</w:t>
      </w:r>
    </w:p>
    <w:p w14:paraId="435E05DD" w14:textId="64B894C3" w:rsidR="00FB7F91" w:rsidRPr="00FB7F91" w:rsidRDefault="00A73D7D" w:rsidP="00FB7F91">
      <w:pPr>
        <w:spacing w:before="60" w:after="60"/>
        <w:rPr>
          <w:rFonts w:ascii="Titillium" w:hAnsi="Titillium"/>
          <w:i/>
          <w:sz w:val="18"/>
          <w:szCs w:val="18"/>
        </w:rPr>
      </w:pPr>
      <w:r>
        <w:rPr>
          <w:rFonts w:ascii="Titillium" w:hAnsi="Titillium"/>
          <w:i/>
          <w:sz w:val="18"/>
          <w:szCs w:val="18"/>
        </w:rPr>
        <w:t xml:space="preserve">     </w:t>
      </w:r>
      <w:r w:rsidR="00FB7F91" w:rsidRPr="00FB7F91">
        <w:rPr>
          <w:rFonts w:ascii="Titillium" w:hAnsi="Titillium"/>
          <w:i/>
          <w:sz w:val="18"/>
          <w:szCs w:val="18"/>
        </w:rPr>
        <w:t>Ci</w:t>
      </w:r>
      <w:r>
        <w:rPr>
          <w:rFonts w:ascii="Titillium" w:hAnsi="Titillium"/>
          <w:i/>
          <w:sz w:val="18"/>
          <w:szCs w:val="18"/>
        </w:rPr>
        <w:t xml:space="preserve"> </w:t>
      </w:r>
      <w:r w:rsidR="00FB7F91" w:rsidRPr="00FB7F91">
        <w:rPr>
          <w:rFonts w:ascii="Titillium" w:hAnsi="Titillium"/>
          <w:i/>
          <w:sz w:val="18"/>
          <w:szCs w:val="18"/>
        </w:rPr>
        <w:t xml:space="preserve">= </w:t>
      </w:r>
      <w:r>
        <w:rPr>
          <w:rFonts w:ascii="Titillium" w:hAnsi="Titillium"/>
          <w:i/>
          <w:sz w:val="18"/>
          <w:szCs w:val="18"/>
        </w:rPr>
        <w:t xml:space="preserve">            </w:t>
      </w:r>
      <w:r w:rsidR="00FB7F91" w:rsidRPr="00FB7F91">
        <w:rPr>
          <w:rFonts w:ascii="Titillium" w:hAnsi="Titillium"/>
          <w:i/>
          <w:sz w:val="18"/>
          <w:szCs w:val="18"/>
        </w:rPr>
        <w:t xml:space="preserve">0,90 + (1,00 – 0,90)  X </w:t>
      </w:r>
      <w:r w:rsidR="00C655A7">
        <w:rPr>
          <w:rFonts w:ascii="Titillium" w:hAnsi="Titillium"/>
          <w:i/>
          <w:sz w:val="18"/>
          <w:szCs w:val="18"/>
        </w:rPr>
        <w:t>(</w:t>
      </w:r>
      <w:r w:rsidR="00FB7F91" w:rsidRPr="00FB7F91">
        <w:rPr>
          <w:rFonts w:ascii="Titillium" w:hAnsi="Titillium"/>
          <w:i/>
          <w:sz w:val="18"/>
          <w:szCs w:val="18"/>
        </w:rPr>
        <w:t>ribasso offerta in esame – media di tutti i ribassi</w:t>
      </w:r>
      <w:r w:rsidR="00C655A7">
        <w:rPr>
          <w:rFonts w:ascii="Titillium" w:hAnsi="Titillium"/>
          <w:i/>
          <w:sz w:val="18"/>
          <w:szCs w:val="18"/>
        </w:rPr>
        <w:t>)</w:t>
      </w:r>
    </w:p>
    <w:p w14:paraId="0913BAF7" w14:textId="77777777" w:rsidR="00FB7F91" w:rsidRPr="00FB7F91" w:rsidRDefault="00FB7F91" w:rsidP="00FB7F91">
      <w:pPr>
        <w:spacing w:before="60" w:after="60"/>
        <w:rPr>
          <w:rFonts w:ascii="Titillium" w:hAnsi="Titillium"/>
          <w:i/>
          <w:sz w:val="18"/>
          <w:szCs w:val="18"/>
        </w:rPr>
      </w:pPr>
      <w:r w:rsidRPr="00FB7F91">
        <w:rPr>
          <w:rFonts w:ascii="Titillium" w:hAnsi="Titillium"/>
          <w:i/>
          <w:sz w:val="18"/>
          <w:szCs w:val="18"/>
        </w:rPr>
        <w:t xml:space="preserve">                                            ______________________________________</w:t>
      </w:r>
    </w:p>
    <w:p w14:paraId="54F85ABD" w14:textId="77777777" w:rsidR="00FB7F91" w:rsidRPr="00FB7F91" w:rsidRDefault="00FB7F91" w:rsidP="00FB7F91">
      <w:pPr>
        <w:spacing w:before="60" w:after="60"/>
        <w:rPr>
          <w:rFonts w:ascii="Titillium" w:hAnsi="Titillium"/>
          <w:i/>
          <w:sz w:val="18"/>
          <w:szCs w:val="18"/>
        </w:rPr>
      </w:pPr>
      <w:r w:rsidRPr="00FB7F91">
        <w:rPr>
          <w:rFonts w:ascii="Titillium" w:hAnsi="Titillium"/>
          <w:i/>
          <w:sz w:val="18"/>
          <w:szCs w:val="18"/>
        </w:rPr>
        <w:t xml:space="preserve">                                                    massimo ribasso – media di tutti i ribassi</w:t>
      </w:r>
    </w:p>
    <w:p w14:paraId="3D6BC1D7" w14:textId="5CC7A5AA" w:rsidR="004C53A8" w:rsidRPr="00BA5BE2" w:rsidRDefault="00BA5BE2">
      <w:pPr>
        <w:spacing w:before="60" w:after="60"/>
        <w:rPr>
          <w:rFonts w:ascii="Titillium" w:hAnsi="Titillium"/>
          <w:b/>
          <w:sz w:val="20"/>
          <w:szCs w:val="24"/>
        </w:rPr>
      </w:pPr>
      <w:r w:rsidRPr="00BA5BE2">
        <w:rPr>
          <w:rFonts w:ascii="Titillium" w:hAnsi="Titillium"/>
          <w:b/>
          <w:sz w:val="20"/>
          <w:szCs w:val="24"/>
        </w:rPr>
        <w:t>Il coefficiente così ottenuto verrà moltiplicato per il punteggio massimo assegnabile all’offerta economica (</w:t>
      </w:r>
      <w:r w:rsidR="00320D80">
        <w:rPr>
          <w:rFonts w:ascii="Titillium" w:hAnsi="Titillium"/>
          <w:b/>
          <w:sz w:val="20"/>
          <w:szCs w:val="24"/>
        </w:rPr>
        <w:t>2</w:t>
      </w:r>
      <w:r w:rsidR="00C95F75">
        <w:rPr>
          <w:rFonts w:ascii="Titillium" w:hAnsi="Titillium"/>
          <w:b/>
          <w:sz w:val="20"/>
          <w:szCs w:val="24"/>
        </w:rPr>
        <w:t>0</w:t>
      </w:r>
      <w:r w:rsidRPr="00BA5BE2">
        <w:rPr>
          <w:rFonts w:ascii="Titillium" w:hAnsi="Titillium"/>
          <w:b/>
          <w:sz w:val="20"/>
          <w:szCs w:val="24"/>
        </w:rPr>
        <w:t xml:space="preserve"> punti)</w:t>
      </w:r>
    </w:p>
    <w:p w14:paraId="4FF98AC4" w14:textId="20DD0A17" w:rsidR="004C53A8" w:rsidRDefault="00FC14CD" w:rsidP="00FC14CD">
      <w:pPr>
        <w:pStyle w:val="Titolo3"/>
        <w:numPr>
          <w:ilvl w:val="0"/>
          <w:numId w:val="0"/>
        </w:numPr>
      </w:pPr>
      <w:bookmarkStart w:id="1810" w:name="_Ref497226795"/>
      <w:bookmarkStart w:id="1811" w:name="_Toc89270308"/>
      <w:r>
        <w:rPr>
          <w:rFonts w:ascii="Titillium" w:hAnsi="Titillium"/>
          <w:iCs/>
          <w:caps w:val="0"/>
          <w:sz w:val="18"/>
          <w:szCs w:val="18"/>
          <w:lang w:val="it-IT"/>
        </w:rPr>
        <w:t>1</w:t>
      </w:r>
      <w:r w:rsidR="00E2725E">
        <w:rPr>
          <w:rFonts w:ascii="Titillium" w:hAnsi="Titillium"/>
          <w:iCs/>
          <w:caps w:val="0"/>
          <w:sz w:val="18"/>
          <w:szCs w:val="18"/>
          <w:lang w:val="it-IT"/>
        </w:rPr>
        <w:t>8</w:t>
      </w:r>
      <w:r>
        <w:rPr>
          <w:rFonts w:ascii="Titillium" w:hAnsi="Titillium"/>
          <w:iCs/>
          <w:caps w:val="0"/>
          <w:sz w:val="18"/>
          <w:szCs w:val="18"/>
          <w:lang w:val="it-IT"/>
        </w:rPr>
        <w:t xml:space="preserve">.3 </w:t>
      </w:r>
      <w:r w:rsidR="004C667D">
        <w:rPr>
          <w:rFonts w:ascii="Titillium" w:hAnsi="Titillium"/>
          <w:iCs/>
          <w:caps w:val="0"/>
          <w:sz w:val="18"/>
          <w:szCs w:val="18"/>
        </w:rPr>
        <w:t>METODO PER IL CALCOLO DEI PUNTEGGI</w:t>
      </w:r>
      <w:bookmarkEnd w:id="1810"/>
      <w:bookmarkEnd w:id="1811"/>
      <w:r w:rsidR="00BA5BE2">
        <w:rPr>
          <w:rFonts w:ascii="Titillium" w:hAnsi="Titillium"/>
          <w:iCs/>
          <w:caps w:val="0"/>
          <w:sz w:val="18"/>
          <w:szCs w:val="18"/>
          <w:lang w:val="it-IT"/>
        </w:rPr>
        <w:t xml:space="preserve"> COMPLESSIVI</w:t>
      </w:r>
    </w:p>
    <w:p w14:paraId="4631F4B3" w14:textId="0C7204B3" w:rsidR="00913128" w:rsidRDefault="00870286" w:rsidP="00913128">
      <w:pPr>
        <w:spacing w:before="60" w:after="60"/>
        <w:rPr>
          <w:rFonts w:ascii="Titillium" w:hAnsi="Titillium" w:cs="Calibri"/>
          <w:sz w:val="18"/>
          <w:szCs w:val="18"/>
        </w:rPr>
      </w:pPr>
      <w:r>
        <w:rPr>
          <w:rFonts w:ascii="Titillium" w:hAnsi="Titillium"/>
          <w:sz w:val="18"/>
          <w:szCs w:val="18"/>
        </w:rPr>
        <w:t xml:space="preserve">La commissione, terminata l’attribuzione dei coefficienti agli elementi qualitativi </w:t>
      </w:r>
      <w:r w:rsidRPr="00C65D26">
        <w:rPr>
          <w:rFonts w:ascii="Titillium" w:hAnsi="Titillium"/>
          <w:sz w:val="18"/>
          <w:szCs w:val="18"/>
        </w:rPr>
        <w:t xml:space="preserve">e </w:t>
      </w:r>
      <w:r w:rsidR="00B52F3C" w:rsidRPr="00C65D26">
        <w:rPr>
          <w:rFonts w:ascii="Titillium" w:hAnsi="Titillium"/>
          <w:sz w:val="18"/>
          <w:szCs w:val="18"/>
        </w:rPr>
        <w:t>dei punteggi agli elementi</w:t>
      </w:r>
      <w:r w:rsidR="00217808">
        <w:rPr>
          <w:rFonts w:ascii="Titillium" w:hAnsi="Titillium"/>
          <w:sz w:val="18"/>
          <w:szCs w:val="18"/>
        </w:rPr>
        <w:t xml:space="preserve"> </w:t>
      </w:r>
      <w:r>
        <w:rPr>
          <w:rFonts w:ascii="Titillium" w:hAnsi="Titillium"/>
          <w:sz w:val="18"/>
          <w:szCs w:val="18"/>
        </w:rPr>
        <w:t>quantitativ</w:t>
      </w:r>
      <w:r w:rsidR="00217808">
        <w:rPr>
          <w:rFonts w:ascii="Titillium" w:hAnsi="Titillium"/>
          <w:sz w:val="18"/>
          <w:szCs w:val="18"/>
        </w:rPr>
        <w:t xml:space="preserve">i </w:t>
      </w:r>
      <w:bookmarkStart w:id="1812" w:name="_Toc416423372"/>
      <w:bookmarkStart w:id="1813" w:name="_Toc406754189"/>
      <w:bookmarkStart w:id="1814" w:name="_Toc406058388"/>
      <w:bookmarkStart w:id="1815" w:name="_Toc403471280"/>
      <w:bookmarkStart w:id="1816" w:name="_Toc397422873"/>
      <w:bookmarkStart w:id="1817" w:name="_Toc397346832"/>
      <w:bookmarkStart w:id="1818" w:name="_Toc393706917"/>
      <w:bookmarkStart w:id="1819" w:name="_Toc393700844"/>
      <w:bookmarkStart w:id="1820" w:name="_Toc393283185"/>
      <w:bookmarkStart w:id="1821" w:name="_Toc393272669"/>
      <w:bookmarkStart w:id="1822" w:name="_Toc393272611"/>
      <w:bookmarkStart w:id="1823" w:name="_Toc393187855"/>
      <w:bookmarkStart w:id="1824" w:name="_Toc393112138"/>
      <w:bookmarkStart w:id="1825" w:name="_Toc393110574"/>
      <w:bookmarkStart w:id="1826" w:name="_Toc392577507"/>
      <w:bookmarkStart w:id="1827" w:name="_Toc391036066"/>
      <w:bookmarkStart w:id="1828" w:name="_Toc391035993"/>
      <w:bookmarkStart w:id="1829" w:name="_Toc380501880"/>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r w:rsidR="00913128" w:rsidRPr="00913128">
        <w:rPr>
          <w:rFonts w:ascii="Titillium" w:hAnsi="Titillium" w:cs="Calibri"/>
          <w:sz w:val="18"/>
          <w:szCs w:val="18"/>
        </w:rPr>
        <w:t>sopra riportati,</w:t>
      </w:r>
      <w:r w:rsidR="003F3A1F">
        <w:rPr>
          <w:rFonts w:ascii="Titillium" w:hAnsi="Titillium" w:cs="Calibri"/>
          <w:sz w:val="18"/>
          <w:szCs w:val="18"/>
        </w:rPr>
        <w:t xml:space="preserve"> </w:t>
      </w:r>
      <w:r w:rsidR="00913128" w:rsidRPr="00913128">
        <w:rPr>
          <w:rFonts w:ascii="Titillium" w:hAnsi="Titillium" w:cs="Calibri"/>
          <w:sz w:val="18"/>
          <w:szCs w:val="18"/>
        </w:rPr>
        <w:t xml:space="preserve">procederà – in relazione a ciascuna offerta – ad individuare l’offerta economicamente più vantaggiosa sulla base della seguente formula: </w:t>
      </w:r>
    </w:p>
    <w:p w14:paraId="2ADEF032" w14:textId="7066FDFB" w:rsidR="00151EE4" w:rsidRDefault="00151EE4" w:rsidP="00913128">
      <w:pPr>
        <w:spacing w:before="60" w:after="60"/>
        <w:rPr>
          <w:rFonts w:ascii="Titillium" w:hAnsi="Titillium" w:cs="Calibri"/>
          <w:sz w:val="18"/>
          <w:szCs w:val="18"/>
        </w:rPr>
      </w:pPr>
      <w:r w:rsidRPr="00913128">
        <w:rPr>
          <w:rFonts w:ascii="Titillium" w:hAnsi="Titillium" w:cs="Calibri"/>
          <w:noProof/>
          <w:sz w:val="18"/>
          <w:szCs w:val="18"/>
          <w:lang w:eastAsia="it-IT"/>
        </w:rPr>
        <mc:AlternateContent>
          <mc:Choice Requires="wps">
            <w:drawing>
              <wp:anchor distT="0" distB="0" distL="114300" distR="114300" simplePos="0" relativeHeight="251658240" behindDoc="0" locked="0" layoutInCell="1" allowOverlap="1" wp14:anchorId="7A7F2200" wp14:editId="446757E6">
                <wp:simplePos x="0" y="0"/>
                <wp:positionH relativeFrom="column">
                  <wp:posOffset>2526030</wp:posOffset>
                </wp:positionH>
                <wp:positionV relativeFrom="paragraph">
                  <wp:posOffset>105410</wp:posOffset>
                </wp:positionV>
                <wp:extent cx="1370330" cy="452755"/>
                <wp:effectExtent l="0" t="0" r="0" b="0"/>
                <wp:wrapSquare wrapText="bothSides"/>
                <wp:docPr id="5" name="Casella di tes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0330" cy="452755"/>
                        </a:xfrm>
                        <a:prstGeom prst="rect">
                          <a:avLst/>
                        </a:prstGeom>
                        <a:solidFill>
                          <a:srgbClr val="FFFFFF"/>
                        </a:solidFill>
                        <a:ln w="9525">
                          <a:solidFill>
                            <a:srgbClr val="000000"/>
                          </a:solidFill>
                          <a:miter lim="800000"/>
                          <a:headEnd/>
                          <a:tailEnd/>
                        </a:ln>
                      </wps:spPr>
                      <wps:txbx>
                        <w:txbxContent>
                          <w:p w14:paraId="7A486404" w14:textId="77777777" w:rsidR="00D30680" w:rsidRPr="00913128" w:rsidRDefault="00D30680" w:rsidP="00913128">
                            <w:pPr>
                              <w:pStyle w:val="Corpotesto"/>
                              <w:kinsoku w:val="0"/>
                              <w:overflowPunct w:val="0"/>
                              <w:spacing w:before="186" w:line="360" w:lineRule="auto"/>
                              <w:ind w:right="117"/>
                              <w:rPr>
                                <w:rFonts w:ascii="Titillium" w:hAnsi="Titillium" w:cs="Calibri"/>
                                <w:b/>
                                <w:sz w:val="18"/>
                                <w:szCs w:val="18"/>
                                <w:lang w:val="it-IT" w:eastAsia="en-US"/>
                              </w:rPr>
                            </w:pPr>
                            <w:r w:rsidRPr="00913128">
                              <w:rPr>
                                <w:rFonts w:ascii="Titillium" w:hAnsi="Titillium" w:cs="Calibri"/>
                                <w:b/>
                                <w:sz w:val="18"/>
                                <w:szCs w:val="18"/>
                                <w:lang w:val="it-IT" w:eastAsia="en-US"/>
                              </w:rPr>
                              <w:t>Ptot = PTi + PEi</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7F2200" id="_x0000_t202" coordsize="21600,21600" o:spt="202" path="m,l,21600r21600,l21600,xe">
                <v:stroke joinstyle="miter"/>
                <v:path gradientshapeok="t" o:connecttype="rect"/>
              </v:shapetype>
              <v:shape id="Casella di testo 5" o:spid="_x0000_s1026" type="#_x0000_t202" style="position:absolute;left:0;text-align:left;margin-left:198.9pt;margin-top:8.3pt;width:107.9pt;height:35.6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">
                <v:textbox>
                  <w:txbxContent>
                    <w:p w14:paraId="7A486404" w14:textId="77777777" w:rsidR="00D30680" w:rsidRPr="00913128" w:rsidRDefault="00D30680" w:rsidP="00913128">
                      <w:pPr>
                        <w:pStyle w:val="Corpotesto"/>
                        <w:kinsoku w:val="0"/>
                        <w:overflowPunct w:val="0"/>
                        <w:spacing w:before="186" w:line="360" w:lineRule="auto"/>
                        <w:ind w:right="117"/>
                        <w:rPr>
                          <w:rFonts w:ascii="Titillium" w:hAnsi="Titillium" w:cs="Calibri"/>
                          <w:b/>
                          <w:sz w:val="18"/>
                          <w:szCs w:val="18"/>
                          <w:lang w:val="it-IT" w:eastAsia="en-US"/>
                        </w:rPr>
                      </w:pPr>
                      <w:r w:rsidRPr="00913128">
                        <w:rPr>
                          <w:rFonts w:ascii="Titillium" w:hAnsi="Titillium" w:cs="Calibri"/>
                          <w:b/>
                          <w:sz w:val="18"/>
                          <w:szCs w:val="18"/>
                          <w:lang w:val="it-IT" w:eastAsia="en-US"/>
                        </w:rPr>
                        <w:t>Ptot = PTi + PEi</w:t>
                      </w:r>
                    </w:p>
                  </w:txbxContent>
                </v:textbox>
                <w10:wrap type="square"/>
              </v:shape>
            </w:pict>
          </mc:Fallback>
        </mc:AlternateContent>
      </w:r>
    </w:p>
    <w:p w14:paraId="05854BA0" w14:textId="713098E8" w:rsidR="00913128" w:rsidRPr="00913128" w:rsidRDefault="00913128" w:rsidP="00913128">
      <w:pPr>
        <w:spacing w:before="60" w:after="60"/>
        <w:rPr>
          <w:rFonts w:ascii="Titillium" w:hAnsi="Titillium" w:cs="Calibri"/>
          <w:sz w:val="18"/>
          <w:szCs w:val="18"/>
        </w:rPr>
      </w:pPr>
    </w:p>
    <w:p w14:paraId="65B2EF5F" w14:textId="77777777" w:rsidR="00913128" w:rsidRPr="00913128" w:rsidRDefault="00913128" w:rsidP="00913128">
      <w:pPr>
        <w:spacing w:before="60" w:after="60"/>
        <w:rPr>
          <w:rFonts w:ascii="Titillium" w:hAnsi="Titillium" w:cs="Calibri"/>
          <w:sz w:val="18"/>
          <w:szCs w:val="18"/>
        </w:rPr>
      </w:pPr>
    </w:p>
    <w:p w14:paraId="1C95FCD6" w14:textId="77777777" w:rsidR="00913128" w:rsidRPr="00913128" w:rsidRDefault="00913128" w:rsidP="00913128">
      <w:pPr>
        <w:spacing w:before="60" w:after="60"/>
        <w:rPr>
          <w:rFonts w:ascii="Titillium" w:hAnsi="Titillium" w:cs="Calibri"/>
          <w:sz w:val="18"/>
          <w:szCs w:val="18"/>
        </w:rPr>
      </w:pPr>
      <w:r w:rsidRPr="00913128">
        <w:rPr>
          <w:rFonts w:ascii="Titillium" w:hAnsi="Titillium" w:cs="Calibri"/>
          <w:sz w:val="18"/>
          <w:szCs w:val="18"/>
        </w:rPr>
        <w:t>dove:</w:t>
      </w:r>
    </w:p>
    <w:p w14:paraId="411151BE" w14:textId="77777777" w:rsidR="00913128" w:rsidRPr="00913128" w:rsidRDefault="00913128" w:rsidP="00913128">
      <w:pPr>
        <w:spacing w:before="60" w:after="60"/>
        <w:rPr>
          <w:rFonts w:ascii="Titillium" w:hAnsi="Titillium" w:cs="Calibri"/>
          <w:sz w:val="18"/>
          <w:szCs w:val="18"/>
        </w:rPr>
      </w:pPr>
      <w:r w:rsidRPr="00913128">
        <w:rPr>
          <w:rFonts w:ascii="Titillium" w:hAnsi="Titillium" w:cs="Calibri"/>
          <w:sz w:val="18"/>
          <w:szCs w:val="18"/>
        </w:rPr>
        <w:t>Ptot = punteggio totale;</w:t>
      </w:r>
    </w:p>
    <w:p w14:paraId="5079C21C" w14:textId="77777777" w:rsidR="00913128" w:rsidRPr="00913128" w:rsidRDefault="00913128" w:rsidP="00913128">
      <w:pPr>
        <w:spacing w:before="60" w:after="60"/>
        <w:rPr>
          <w:rFonts w:ascii="Titillium" w:hAnsi="Titillium" w:cs="Calibri"/>
          <w:sz w:val="18"/>
          <w:szCs w:val="18"/>
        </w:rPr>
      </w:pPr>
      <w:r w:rsidRPr="00913128">
        <w:rPr>
          <w:rFonts w:ascii="Titillium" w:hAnsi="Titillium" w:cs="Calibri"/>
          <w:sz w:val="18"/>
          <w:szCs w:val="18"/>
        </w:rPr>
        <w:t>PTi = punteggio conseguito dall’offerta tecnica del concorrente i-esimo;</w:t>
      </w:r>
    </w:p>
    <w:p w14:paraId="6A188F13" w14:textId="77777777" w:rsidR="00913128" w:rsidRPr="00913128" w:rsidRDefault="00913128" w:rsidP="00913128">
      <w:pPr>
        <w:spacing w:before="60" w:after="60"/>
        <w:rPr>
          <w:rFonts w:ascii="Titillium" w:hAnsi="Titillium" w:cs="Calibri"/>
          <w:sz w:val="18"/>
          <w:szCs w:val="18"/>
        </w:rPr>
      </w:pPr>
      <w:r w:rsidRPr="00913128">
        <w:rPr>
          <w:rFonts w:ascii="Titillium" w:hAnsi="Titillium" w:cs="Calibri"/>
          <w:sz w:val="18"/>
          <w:szCs w:val="18"/>
        </w:rPr>
        <w:t xml:space="preserve">PEi = punteggio conseguito dall’offerta economica del concorrente i-esimo. </w:t>
      </w:r>
    </w:p>
    <w:p w14:paraId="02E7323E" w14:textId="570D4F0D" w:rsidR="00913128" w:rsidRDefault="00913128">
      <w:pPr>
        <w:spacing w:before="60" w:after="60"/>
      </w:pPr>
    </w:p>
    <w:p w14:paraId="565C1B12" w14:textId="4F59EC48" w:rsidR="00A10B46" w:rsidRDefault="00A10B46" w:rsidP="00A10B46">
      <w:pPr>
        <w:spacing w:before="60" w:after="60"/>
        <w:rPr>
          <w:rFonts w:ascii="Titillium" w:hAnsi="Titillium" w:cs="Calibri"/>
          <w:sz w:val="18"/>
          <w:szCs w:val="18"/>
        </w:rPr>
      </w:pPr>
      <w:r w:rsidRPr="00A10B46">
        <w:rPr>
          <w:rFonts w:ascii="Titillium" w:hAnsi="Titillium" w:cs="Calibri"/>
          <w:sz w:val="18"/>
          <w:szCs w:val="18"/>
        </w:rPr>
        <w:t xml:space="preserve">Si precisa che nelle operazioni matematiche effettuate per l’attribuzione dei punteggi a tutti gli elementi, verranno usate le </w:t>
      </w:r>
      <w:r w:rsidRPr="00C65D26">
        <w:rPr>
          <w:rFonts w:ascii="Titillium" w:hAnsi="Titillium" w:cs="Calibri"/>
          <w:sz w:val="18"/>
          <w:szCs w:val="18"/>
        </w:rPr>
        <w:t>prime due cifre decimali</w:t>
      </w:r>
      <w:r w:rsidRPr="00A10B46">
        <w:rPr>
          <w:rFonts w:ascii="Titillium" w:hAnsi="Titillium" w:cs="Calibri"/>
          <w:sz w:val="18"/>
          <w:szCs w:val="18"/>
        </w:rPr>
        <w:t xml:space="preserve"> con arrotondamento all’unità superiore o inferiore qualora la terza cifra decimale risulti pari o superiore, ovvero inferiore a cinque. </w:t>
      </w:r>
    </w:p>
    <w:p w14:paraId="74652417" w14:textId="73BE4203" w:rsidR="00A10B46" w:rsidRDefault="00A10B46" w:rsidP="00A6246A">
      <w:pPr>
        <w:spacing w:before="60" w:after="240"/>
        <w:rPr>
          <w:rFonts w:ascii="Titillium" w:hAnsi="Titillium" w:cs="Calibri"/>
          <w:sz w:val="18"/>
          <w:szCs w:val="18"/>
        </w:rPr>
      </w:pPr>
      <w:r w:rsidRPr="00A10B46">
        <w:rPr>
          <w:rFonts w:ascii="Titillium" w:hAnsi="Titillium" w:cs="Calibri"/>
          <w:sz w:val="18"/>
          <w:szCs w:val="18"/>
        </w:rPr>
        <w:t>L’affidamento potrà avvenire anche in presenza di una sola offerta valida, purché ritenuta congrua e conveniente.</w:t>
      </w:r>
    </w:p>
    <w:p w14:paraId="1B4334CA" w14:textId="4F5E2755" w:rsidR="004C53A8" w:rsidRDefault="00870286" w:rsidP="00CC149D">
      <w:pPr>
        <w:pStyle w:val="Titolo2"/>
        <w:numPr>
          <w:ilvl w:val="0"/>
          <w:numId w:val="3"/>
        </w:numPr>
        <w:tabs>
          <w:tab w:val="left" w:pos="6521"/>
        </w:tabs>
        <w:spacing w:before="60" w:after="60"/>
        <w:rPr>
          <w:rFonts w:ascii="Titillium" w:hAnsi="Titillium"/>
          <w:sz w:val="18"/>
          <w:szCs w:val="18"/>
          <w:lang w:val="it-IT"/>
        </w:rPr>
      </w:pPr>
      <w:bookmarkStart w:id="1830" w:name="_Toc4034712801"/>
      <w:bookmarkStart w:id="1831" w:name="_Toc3974228731"/>
      <w:bookmarkStart w:id="1832" w:name="_Toc3973468321"/>
      <w:bookmarkStart w:id="1833" w:name="_Toc3937069171"/>
      <w:bookmarkStart w:id="1834" w:name="_Toc3937008441"/>
      <w:bookmarkStart w:id="1835" w:name="_Toc3932831851"/>
      <w:bookmarkStart w:id="1836" w:name="_Toc3932726691"/>
      <w:bookmarkStart w:id="1837" w:name="_Toc3932726111"/>
      <w:bookmarkStart w:id="1838" w:name="_Toc3931878551"/>
      <w:bookmarkStart w:id="1839" w:name="_Toc3931121381"/>
      <w:bookmarkStart w:id="1840" w:name="_Toc3931105741"/>
      <w:bookmarkStart w:id="1841" w:name="_Toc3925775071"/>
      <w:bookmarkStart w:id="1842" w:name="_Toc3910360661"/>
      <w:bookmarkStart w:id="1843" w:name="_Toc3910359931"/>
      <w:bookmarkStart w:id="1844" w:name="_Toc3805018801"/>
      <w:bookmarkStart w:id="1845" w:name="_Toc485218331"/>
      <w:bookmarkStart w:id="1846" w:name="_Toc484688895"/>
      <w:bookmarkStart w:id="1847" w:name="_Toc484688340"/>
      <w:bookmarkStart w:id="1848" w:name="_Toc484605471"/>
      <w:bookmarkStart w:id="1849" w:name="_Toc484605347"/>
      <w:bookmarkStart w:id="1850" w:name="_Toc484526628"/>
      <w:bookmarkStart w:id="1851" w:name="_Toc484449133"/>
      <w:bookmarkStart w:id="1852" w:name="_Toc484449009"/>
      <w:bookmarkStart w:id="1853" w:name="_Toc484448885"/>
      <w:bookmarkStart w:id="1854" w:name="_Toc484448762"/>
      <w:bookmarkStart w:id="1855" w:name="_Toc484448638"/>
      <w:bookmarkStart w:id="1856" w:name="_Toc484448514"/>
      <w:bookmarkStart w:id="1857" w:name="_Toc484448390"/>
      <w:bookmarkStart w:id="1858" w:name="_Toc484448266"/>
      <w:bookmarkStart w:id="1859" w:name="_Toc484448142"/>
      <w:bookmarkStart w:id="1860" w:name="_Toc484440482"/>
      <w:bookmarkStart w:id="1861" w:name="_Toc484440122"/>
      <w:bookmarkStart w:id="1862" w:name="_Toc484439998"/>
      <w:bookmarkStart w:id="1863" w:name="_Toc484439875"/>
      <w:bookmarkStart w:id="1864" w:name="_Toc484438955"/>
      <w:bookmarkStart w:id="1865" w:name="_Toc484438831"/>
      <w:bookmarkStart w:id="1866" w:name="_Toc484438707"/>
      <w:bookmarkStart w:id="1867" w:name="_Toc484429132"/>
      <w:bookmarkStart w:id="1868" w:name="_Toc484428962"/>
      <w:bookmarkStart w:id="1869" w:name="_Toc484097788"/>
      <w:bookmarkStart w:id="1870" w:name="_Toc484011714"/>
      <w:bookmarkStart w:id="1871" w:name="_Toc484011239"/>
      <w:bookmarkStart w:id="1872" w:name="_Toc484011117"/>
      <w:bookmarkStart w:id="1873" w:name="_Toc484010995"/>
      <w:bookmarkStart w:id="1874" w:name="_Toc484010871"/>
      <w:bookmarkStart w:id="1875" w:name="_Toc484010749"/>
      <w:bookmarkStart w:id="1876" w:name="_Toc483906999"/>
      <w:bookmarkStart w:id="1877" w:name="_Toc483571622"/>
      <w:bookmarkStart w:id="1878" w:name="_Toc483571501"/>
      <w:bookmarkStart w:id="1879" w:name="_Toc483474071"/>
      <w:bookmarkStart w:id="1880" w:name="_Toc483401275"/>
      <w:bookmarkStart w:id="1881" w:name="_Toc483325797"/>
      <w:bookmarkStart w:id="1882" w:name="_Toc483316494"/>
      <w:bookmarkStart w:id="1883" w:name="_Toc483316363"/>
      <w:bookmarkStart w:id="1884" w:name="_Toc483316231"/>
      <w:bookmarkStart w:id="1885" w:name="_Toc483316026"/>
      <w:bookmarkStart w:id="1886" w:name="_Toc483302405"/>
      <w:bookmarkStart w:id="1887" w:name="_Toc483233688"/>
      <w:bookmarkStart w:id="1888" w:name="_Toc482979728"/>
      <w:bookmarkStart w:id="1889" w:name="_Toc482979630"/>
      <w:bookmarkStart w:id="1890" w:name="_Toc482979532"/>
      <w:bookmarkStart w:id="1891" w:name="_Toc482979424"/>
      <w:bookmarkStart w:id="1892" w:name="_Toc482979315"/>
      <w:bookmarkStart w:id="1893" w:name="_Toc482979206"/>
      <w:bookmarkStart w:id="1894" w:name="_Toc482979095"/>
      <w:bookmarkStart w:id="1895" w:name="_Toc482978987"/>
      <w:bookmarkStart w:id="1896" w:name="_Toc482978878"/>
      <w:bookmarkStart w:id="1897" w:name="_Toc482959759"/>
      <w:bookmarkStart w:id="1898" w:name="_Toc482959649"/>
      <w:bookmarkStart w:id="1899" w:name="_Toc482959539"/>
      <w:bookmarkStart w:id="1900" w:name="_Toc482712751"/>
      <w:bookmarkStart w:id="1901" w:name="_Toc482641305"/>
      <w:bookmarkStart w:id="1902" w:name="_Toc482633128"/>
      <w:bookmarkStart w:id="1903" w:name="_Toc482352287"/>
      <w:bookmarkStart w:id="1904" w:name="_Toc482352197"/>
      <w:bookmarkStart w:id="1905" w:name="_Toc482352107"/>
      <w:bookmarkStart w:id="1906" w:name="_Toc482352017"/>
      <w:bookmarkStart w:id="1907" w:name="_Toc482102153"/>
      <w:bookmarkStart w:id="1908" w:name="_Toc482102059"/>
      <w:bookmarkStart w:id="1909" w:name="_Toc482101964"/>
      <w:bookmarkStart w:id="1910" w:name="_Toc482101869"/>
      <w:bookmarkStart w:id="1911" w:name="_Toc482101776"/>
      <w:bookmarkStart w:id="1912" w:name="_Toc482101601"/>
      <w:bookmarkStart w:id="1913" w:name="_Toc482101486"/>
      <w:bookmarkStart w:id="1914" w:name="_Toc482101349"/>
      <w:bookmarkStart w:id="1915" w:name="_Toc482100923"/>
      <w:bookmarkStart w:id="1916" w:name="_Toc482100766"/>
      <w:bookmarkStart w:id="1917" w:name="_Toc482099049"/>
      <w:bookmarkStart w:id="1918" w:name="_Toc482097947"/>
      <w:bookmarkStart w:id="1919" w:name="_Toc482097755"/>
      <w:bookmarkStart w:id="1920" w:name="_Toc482097666"/>
      <w:bookmarkStart w:id="1921" w:name="_Toc482097577"/>
      <w:bookmarkStart w:id="1922" w:name="_Toc482025753"/>
      <w:bookmarkStart w:id="1923" w:name="_Toc481772380"/>
      <w:bookmarkStart w:id="1924" w:name="_Toc481772316"/>
      <w:bookmarkStart w:id="1925" w:name="_Toc481511317"/>
      <w:bookmarkStart w:id="1926" w:name="_Toc481511273"/>
      <w:bookmarkStart w:id="1927" w:name="_Toc481511213"/>
      <w:bookmarkStart w:id="1928" w:name="_Toc481511168"/>
      <w:bookmarkStart w:id="1929" w:name="_Toc481511110"/>
      <w:bookmarkStart w:id="1930" w:name="_Toc481165531"/>
      <w:bookmarkStart w:id="1931" w:name="_Toc481165222"/>
      <w:bookmarkStart w:id="1932" w:name="_Toc481160021"/>
      <w:bookmarkStart w:id="1933" w:name="_Toc481159876"/>
      <w:bookmarkStart w:id="1934" w:name="_Toc481159824"/>
      <w:bookmarkStart w:id="1935" w:name="_Toc481159767"/>
      <w:bookmarkStart w:id="1936" w:name="_Toc481159721"/>
      <w:bookmarkStart w:id="1937" w:name="_Toc481159382"/>
      <w:bookmarkStart w:id="1938" w:name="_Toc481158988"/>
      <w:bookmarkStart w:id="1939" w:name="_Toc4164233721"/>
      <w:bookmarkStart w:id="1940" w:name="_Toc4067541891"/>
      <w:bookmarkStart w:id="1941" w:name="_Toc4060583881"/>
      <w:bookmarkStart w:id="1942" w:name="_Toc8927030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r>
        <w:rPr>
          <w:rFonts w:ascii="Titillium" w:hAnsi="Titillium"/>
          <w:sz w:val="18"/>
          <w:szCs w:val="18"/>
          <w:lang w:val="it-IT"/>
        </w:rPr>
        <w:t>COMMISSIONE GIUDICATRICE</w:t>
      </w:r>
      <w:bookmarkEnd w:id="1942"/>
    </w:p>
    <w:p w14:paraId="20FC8E6A" w14:textId="77777777" w:rsidR="00A42186" w:rsidRPr="00B4160A" w:rsidRDefault="00A42186" w:rsidP="00A42186">
      <w:pPr>
        <w:spacing w:before="60"/>
        <w:rPr>
          <w:rFonts w:ascii="Titillium" w:hAnsi="Titillium" w:cs="Calibri"/>
          <w:sz w:val="18"/>
          <w:szCs w:val="18"/>
          <w:lang w:val="x-none"/>
        </w:rPr>
      </w:pPr>
      <w:r w:rsidRPr="00B4160A">
        <w:rPr>
          <w:rFonts w:ascii="Titillium" w:hAnsi="Titillium" w:cs="Calibri"/>
          <w:sz w:val="18"/>
          <w:szCs w:val="18"/>
          <w:lang w:val="x-none"/>
        </w:rPr>
        <w:t>La commissione giudicatrice è nominata</w:t>
      </w:r>
      <w:r>
        <w:rPr>
          <w:rFonts w:ascii="Titillium" w:hAnsi="Titillium" w:cs="Calibri"/>
          <w:sz w:val="18"/>
          <w:szCs w:val="18"/>
        </w:rPr>
        <w:t xml:space="preserve">, dalla </w:t>
      </w:r>
      <w:r w:rsidRPr="00435A48">
        <w:rPr>
          <w:rFonts w:ascii="Titillium" w:hAnsi="Titillium" w:cs="Calibri"/>
          <w:sz w:val="18"/>
          <w:szCs w:val="18"/>
          <w:lang w:val="x-none"/>
        </w:rPr>
        <w:t xml:space="preserve">dirigente responsabile della Stazione Unica Appaltante della Provincia di Piacenza, dott.ssa </w:t>
      </w:r>
      <w:r>
        <w:rPr>
          <w:rFonts w:ascii="Titillium" w:hAnsi="Titillium" w:cs="Calibri"/>
          <w:sz w:val="18"/>
          <w:szCs w:val="18"/>
          <w:lang w:val="x-none"/>
        </w:rPr>
        <w:t>Monica Penserini</w:t>
      </w:r>
      <w:r>
        <w:rPr>
          <w:rFonts w:ascii="Titillium" w:hAnsi="Titillium" w:cs="Calibri"/>
          <w:sz w:val="18"/>
          <w:szCs w:val="18"/>
        </w:rPr>
        <w:t>,</w:t>
      </w:r>
      <w:r w:rsidRPr="00B4160A">
        <w:rPr>
          <w:rFonts w:ascii="Titillium" w:hAnsi="Titillium" w:cs="Calibri"/>
          <w:sz w:val="18"/>
          <w:szCs w:val="18"/>
          <w:lang w:val="x-none"/>
        </w:rPr>
        <w:t xml:space="preserve"> dopo la scadenza del termine per la presentazione delle offerte ed è composta da un numero dispari pari a n.  3  membri, esperti nello specifico settore cui si riferisce l’oggetto del contratto. In capo ai commissari non devono sussistere cause ostative alla nomina</w:t>
      </w:r>
      <w:r>
        <w:rPr>
          <w:rFonts w:ascii="Titillium" w:hAnsi="Titillium" w:cs="Calibri"/>
          <w:sz w:val="18"/>
          <w:szCs w:val="18"/>
          <w:lang w:val="x-none"/>
        </w:rPr>
        <w:t>,</w:t>
      </w:r>
      <w:r w:rsidRPr="00B4160A">
        <w:rPr>
          <w:rFonts w:ascii="Titillium" w:hAnsi="Titillium" w:cs="Calibri"/>
          <w:sz w:val="18"/>
          <w:szCs w:val="18"/>
          <w:lang w:val="x-none"/>
        </w:rPr>
        <w:t xml:space="preserve"> ai sensi dell’articolo 93 comma 5 del Codice. A tal fine viene richiesta, prima del conferimento dell’incarico, apposita dichiarazione. </w:t>
      </w:r>
    </w:p>
    <w:p w14:paraId="13F04623" w14:textId="77777777" w:rsidR="00A42186" w:rsidRPr="005B0779" w:rsidRDefault="00A42186" w:rsidP="2AD31751">
      <w:pPr>
        <w:spacing w:before="60"/>
        <w:rPr>
          <w:rFonts w:ascii="Titillium" w:hAnsi="Titillium" w:cs="Calibri"/>
          <w:sz w:val="18"/>
          <w:szCs w:val="18"/>
        </w:rPr>
      </w:pPr>
      <w:r w:rsidRPr="005B0779">
        <w:rPr>
          <w:rFonts w:ascii="Titillium" w:hAnsi="Titillium" w:cs="Calibri"/>
          <w:sz w:val="18"/>
          <w:szCs w:val="18"/>
        </w:rPr>
        <w:t>La composizione della commissione giudicatrice e i curricula dei componenti sono pubblicati sul sito istituzionale nella sezione “Amministrazione trasparente”.</w:t>
      </w:r>
    </w:p>
    <w:p w14:paraId="03BF6717" w14:textId="77777777" w:rsidR="00A42186" w:rsidRPr="005B0779" w:rsidRDefault="00A42186" w:rsidP="2AD31751">
      <w:pPr>
        <w:spacing w:before="60"/>
        <w:rPr>
          <w:rFonts w:ascii="Titillium" w:hAnsi="Titillium" w:cs="Calibri"/>
          <w:sz w:val="18"/>
          <w:szCs w:val="18"/>
        </w:rPr>
      </w:pPr>
      <w:r w:rsidRPr="005B0779">
        <w:rPr>
          <w:rFonts w:ascii="Titillium" w:hAnsi="Titillium" w:cs="Calibri"/>
          <w:sz w:val="18"/>
          <w:szCs w:val="18"/>
        </w:rPr>
        <w:lastRenderedPageBreak/>
        <w:t xml:space="preserve">La commissione giudicatrice è responsabile della valutazione delle offerte tecniche ed economiche dei concorrenti, può riunirsi con modalità telematiche che salvaguardino la riservatezza delle comunicazioni ed opera attraverso la piattaforma di approvvigionamento digitale. </w:t>
      </w:r>
    </w:p>
    <w:p w14:paraId="11E39ADB" w14:textId="60E27D93" w:rsidR="00B4160A" w:rsidRPr="00B4160A" w:rsidRDefault="00A42186" w:rsidP="00A6246A">
      <w:pPr>
        <w:spacing w:before="60" w:after="240"/>
        <w:rPr>
          <w:rFonts w:ascii="Titillium" w:hAnsi="Titillium" w:cs="Calibri"/>
          <w:sz w:val="18"/>
          <w:szCs w:val="18"/>
          <w:lang w:val="x-none"/>
        </w:rPr>
      </w:pPr>
      <w:r w:rsidRPr="00AF481C">
        <w:rPr>
          <w:rFonts w:ascii="Titillium" w:hAnsi="Titillium" w:cs="Calibri"/>
          <w:sz w:val="18"/>
          <w:szCs w:val="18"/>
        </w:rPr>
        <w:t>Il RUP si avvale dell’ausilio della commissione giudicatrice ai fini della verifica dell’anomalia delle offerte</w:t>
      </w:r>
      <w:r w:rsidR="00B4160A" w:rsidRPr="00B4160A">
        <w:rPr>
          <w:rFonts w:ascii="Titillium" w:hAnsi="Titillium" w:cs="Calibri"/>
          <w:sz w:val="18"/>
          <w:szCs w:val="18"/>
          <w:lang w:val="x-none"/>
        </w:rPr>
        <w:t xml:space="preserve">. </w:t>
      </w:r>
    </w:p>
    <w:p w14:paraId="20A420C3" w14:textId="4D00B526" w:rsidR="004C53A8" w:rsidRDefault="00870286" w:rsidP="00CC149D">
      <w:pPr>
        <w:pStyle w:val="Titolo2"/>
        <w:numPr>
          <w:ilvl w:val="0"/>
          <w:numId w:val="3"/>
        </w:numPr>
        <w:spacing w:before="60" w:after="60"/>
      </w:pPr>
      <w:bookmarkStart w:id="1943" w:name="_Toc89270310"/>
      <w:r>
        <w:rPr>
          <w:rFonts w:ascii="Titillium" w:hAnsi="Titillium"/>
          <w:sz w:val="18"/>
          <w:szCs w:val="18"/>
          <w:lang w:val="it-IT"/>
        </w:rPr>
        <w:t>SVOLGIMENTO delle OPERAZIONI DI GARA</w:t>
      </w:r>
      <w:bookmarkEnd w:id="1943"/>
      <w:r>
        <w:rPr>
          <w:rFonts w:ascii="Titillium" w:hAnsi="Titillium"/>
          <w:sz w:val="18"/>
          <w:szCs w:val="18"/>
          <w:lang w:val="it-IT"/>
        </w:rPr>
        <w:t xml:space="preserve"> </w:t>
      </w:r>
    </w:p>
    <w:p w14:paraId="7852FA18" w14:textId="78F601CE" w:rsidR="00435A48" w:rsidRPr="006164C5" w:rsidRDefault="00435A48" w:rsidP="552DAF46">
      <w:pPr>
        <w:spacing w:before="60" w:after="60"/>
        <w:rPr>
          <w:rFonts w:ascii="Titillium" w:hAnsi="Titillium" w:cs="Calibri"/>
          <w:b/>
          <w:bCs/>
          <w:sz w:val="20"/>
          <w:szCs w:val="20"/>
        </w:rPr>
      </w:pPr>
      <w:r w:rsidRPr="552DAF46">
        <w:rPr>
          <w:rFonts w:ascii="Titillium" w:hAnsi="Titillium" w:cs="Calibri"/>
          <w:b/>
          <w:bCs/>
          <w:sz w:val="18"/>
          <w:szCs w:val="18"/>
        </w:rPr>
        <w:t xml:space="preserve">La prima sessione ha luogo </w:t>
      </w:r>
      <w:r w:rsidRPr="006164C5">
        <w:rPr>
          <w:rFonts w:ascii="Titillium" w:hAnsi="Titillium" w:cs="Calibri"/>
          <w:b/>
          <w:bCs/>
          <w:color w:val="0000FF"/>
          <w:sz w:val="20"/>
          <w:szCs w:val="20"/>
          <w:shd w:val="clear" w:color="auto" w:fill="D9D9D9" w:themeFill="background1" w:themeFillShade="D9"/>
        </w:rPr>
        <w:t xml:space="preserve">il giorno </w:t>
      </w:r>
      <w:r w:rsidR="00AA364E" w:rsidRPr="006164C5">
        <w:rPr>
          <w:rFonts w:ascii="Titillium" w:hAnsi="Titillium" w:cs="Calibri"/>
          <w:b/>
          <w:bCs/>
          <w:color w:val="0000FF"/>
          <w:sz w:val="20"/>
          <w:szCs w:val="20"/>
          <w:shd w:val="clear" w:color="auto" w:fill="D9D9D9" w:themeFill="background1" w:themeFillShade="D9"/>
        </w:rPr>
        <w:t>XXX</w:t>
      </w:r>
      <w:r w:rsidR="7E08D458" w:rsidRPr="006164C5">
        <w:rPr>
          <w:rFonts w:ascii="Titillium" w:hAnsi="Titillium" w:cs="Calibri"/>
          <w:b/>
          <w:bCs/>
          <w:color w:val="0000FF"/>
          <w:sz w:val="20"/>
          <w:szCs w:val="20"/>
          <w:shd w:val="clear" w:color="auto" w:fill="D9D9D9" w:themeFill="background1" w:themeFillShade="D9"/>
        </w:rPr>
        <w:t>/</w:t>
      </w:r>
      <w:r w:rsidR="00AA364E" w:rsidRPr="006164C5">
        <w:rPr>
          <w:rFonts w:ascii="Titillium" w:hAnsi="Titillium" w:cs="Calibri"/>
          <w:b/>
          <w:bCs/>
          <w:color w:val="0000FF"/>
          <w:sz w:val="20"/>
          <w:szCs w:val="20"/>
          <w:shd w:val="clear" w:color="auto" w:fill="D9D9D9" w:themeFill="background1" w:themeFillShade="D9"/>
        </w:rPr>
        <w:t>XXX</w:t>
      </w:r>
      <w:r w:rsidR="7E08D458" w:rsidRPr="006164C5">
        <w:rPr>
          <w:rFonts w:ascii="Titillium" w:hAnsi="Titillium" w:cs="Calibri"/>
          <w:b/>
          <w:bCs/>
          <w:color w:val="0000FF"/>
          <w:sz w:val="20"/>
          <w:szCs w:val="20"/>
          <w:shd w:val="clear" w:color="auto" w:fill="D9D9D9" w:themeFill="background1" w:themeFillShade="D9"/>
        </w:rPr>
        <w:t>/2026</w:t>
      </w:r>
      <w:r w:rsidRPr="006164C5">
        <w:rPr>
          <w:rFonts w:ascii="Titillium" w:hAnsi="Titillium" w:cs="Calibri"/>
          <w:b/>
          <w:bCs/>
          <w:color w:val="0000FF"/>
          <w:sz w:val="20"/>
          <w:szCs w:val="20"/>
          <w:shd w:val="clear" w:color="auto" w:fill="D9D9D9" w:themeFill="background1" w:themeFillShade="D9"/>
        </w:rPr>
        <w:t xml:space="preserve">, alle ore </w:t>
      </w:r>
      <w:r w:rsidR="00AA364E" w:rsidRPr="006164C5">
        <w:rPr>
          <w:rFonts w:ascii="Titillium" w:hAnsi="Titillium" w:cs="Calibri"/>
          <w:b/>
          <w:bCs/>
          <w:color w:val="0000FF"/>
          <w:sz w:val="20"/>
          <w:szCs w:val="20"/>
          <w:shd w:val="clear" w:color="auto" w:fill="D9D9D9" w:themeFill="background1" w:themeFillShade="D9"/>
        </w:rPr>
        <w:t>XXX</w:t>
      </w:r>
      <w:r w:rsidR="1202AE0F" w:rsidRPr="006164C5">
        <w:rPr>
          <w:rFonts w:ascii="Titillium" w:hAnsi="Titillium" w:cs="Calibri"/>
          <w:b/>
          <w:bCs/>
          <w:color w:val="0000FF"/>
          <w:sz w:val="20"/>
          <w:szCs w:val="20"/>
          <w:shd w:val="clear" w:color="auto" w:fill="D9D9D9" w:themeFill="background1" w:themeFillShade="D9"/>
        </w:rPr>
        <w:t>:</w:t>
      </w:r>
      <w:r w:rsidR="00AA364E" w:rsidRPr="006164C5">
        <w:rPr>
          <w:rFonts w:ascii="Titillium" w:hAnsi="Titillium" w:cs="Calibri"/>
          <w:b/>
          <w:bCs/>
          <w:color w:val="0000FF"/>
          <w:sz w:val="20"/>
          <w:szCs w:val="20"/>
          <w:shd w:val="clear" w:color="auto" w:fill="D9D9D9" w:themeFill="background1" w:themeFillShade="D9"/>
        </w:rPr>
        <w:t>XXX</w:t>
      </w:r>
      <w:r w:rsidRPr="006164C5">
        <w:rPr>
          <w:rFonts w:ascii="Titillium" w:hAnsi="Titillium" w:cs="Calibri"/>
          <w:b/>
          <w:bCs/>
          <w:sz w:val="20"/>
          <w:szCs w:val="20"/>
        </w:rPr>
        <w:t>.</w:t>
      </w:r>
    </w:p>
    <w:p w14:paraId="22515E56" w14:textId="77777777" w:rsidR="00435A48" w:rsidRPr="00435A48" w:rsidRDefault="00435A48" w:rsidP="00435A48">
      <w:pPr>
        <w:spacing w:before="60" w:after="60"/>
        <w:rPr>
          <w:rFonts w:ascii="Titillium" w:hAnsi="Titillium" w:cs="Calibri"/>
          <w:sz w:val="18"/>
          <w:szCs w:val="18"/>
        </w:rPr>
      </w:pPr>
      <w:r w:rsidRPr="00435A48">
        <w:rPr>
          <w:rFonts w:ascii="Titillium" w:hAnsi="Titillium" w:cs="Calibri"/>
          <w:sz w:val="18"/>
          <w:szCs w:val="18"/>
        </w:rPr>
        <w:t>La Piattaforma consente lo svolgimento delle sessioni di gara preordinate all’esame:</w:t>
      </w:r>
    </w:p>
    <w:p w14:paraId="269CC736" w14:textId="77777777" w:rsidR="00435A48" w:rsidRPr="00435A48" w:rsidRDefault="00435A48" w:rsidP="00052E7E">
      <w:pPr>
        <w:spacing w:before="60" w:after="60"/>
        <w:ind w:left="284" w:hanging="284"/>
        <w:rPr>
          <w:rFonts w:ascii="Titillium" w:hAnsi="Titillium" w:cs="Calibri"/>
          <w:sz w:val="18"/>
          <w:szCs w:val="18"/>
        </w:rPr>
      </w:pPr>
      <w:r w:rsidRPr="00435A48">
        <w:rPr>
          <w:rFonts w:ascii="Titillium" w:hAnsi="Titillium" w:cs="Calibri"/>
          <w:sz w:val="18"/>
          <w:szCs w:val="18"/>
        </w:rPr>
        <w:t>•</w:t>
      </w:r>
      <w:r w:rsidRPr="00435A48">
        <w:rPr>
          <w:rFonts w:ascii="Titillium" w:hAnsi="Titillium" w:cs="Calibri"/>
          <w:sz w:val="18"/>
          <w:szCs w:val="18"/>
        </w:rPr>
        <w:tab/>
        <w:t>della documentazione amministrativa;</w:t>
      </w:r>
    </w:p>
    <w:p w14:paraId="67931E68" w14:textId="77777777" w:rsidR="00435A48" w:rsidRPr="00435A48" w:rsidRDefault="00435A48" w:rsidP="00052E7E">
      <w:pPr>
        <w:spacing w:before="60" w:after="60"/>
        <w:ind w:left="284" w:hanging="284"/>
        <w:rPr>
          <w:rFonts w:ascii="Titillium" w:hAnsi="Titillium" w:cs="Calibri"/>
          <w:sz w:val="18"/>
          <w:szCs w:val="18"/>
        </w:rPr>
      </w:pPr>
      <w:r w:rsidRPr="00435A48">
        <w:rPr>
          <w:rFonts w:ascii="Titillium" w:hAnsi="Titillium" w:cs="Calibri"/>
          <w:sz w:val="18"/>
          <w:szCs w:val="18"/>
        </w:rPr>
        <w:t>•</w:t>
      </w:r>
      <w:r w:rsidRPr="00435A48">
        <w:rPr>
          <w:rFonts w:ascii="Titillium" w:hAnsi="Titillium" w:cs="Calibri"/>
          <w:sz w:val="18"/>
          <w:szCs w:val="18"/>
        </w:rPr>
        <w:tab/>
        <w:t>delle offerte tecniche;</w:t>
      </w:r>
    </w:p>
    <w:p w14:paraId="12027A0A" w14:textId="77777777" w:rsidR="00435A48" w:rsidRPr="00435A48" w:rsidRDefault="00435A48" w:rsidP="00052E7E">
      <w:pPr>
        <w:spacing w:before="60" w:after="60"/>
        <w:ind w:left="284" w:hanging="284"/>
        <w:rPr>
          <w:rFonts w:ascii="Titillium" w:hAnsi="Titillium" w:cs="Calibri"/>
          <w:sz w:val="18"/>
          <w:szCs w:val="18"/>
        </w:rPr>
      </w:pPr>
      <w:r w:rsidRPr="00435A48">
        <w:rPr>
          <w:rFonts w:ascii="Titillium" w:hAnsi="Titillium" w:cs="Calibri"/>
          <w:sz w:val="18"/>
          <w:szCs w:val="18"/>
        </w:rPr>
        <w:t>•</w:t>
      </w:r>
      <w:r w:rsidRPr="00435A48">
        <w:rPr>
          <w:rFonts w:ascii="Titillium" w:hAnsi="Titillium" w:cs="Calibri"/>
          <w:sz w:val="18"/>
          <w:szCs w:val="18"/>
        </w:rPr>
        <w:tab/>
        <w:t>delle offerte economiche.</w:t>
      </w:r>
    </w:p>
    <w:p w14:paraId="4AC5E1DD" w14:textId="5C61583F" w:rsidR="00435A48" w:rsidRPr="00435A48" w:rsidRDefault="00435A48" w:rsidP="00435A48">
      <w:pPr>
        <w:spacing w:before="60" w:after="60"/>
        <w:rPr>
          <w:rFonts w:ascii="Titillium" w:hAnsi="Titillium" w:cs="Calibri"/>
          <w:sz w:val="18"/>
          <w:szCs w:val="18"/>
        </w:rPr>
      </w:pPr>
      <w:r w:rsidRPr="00435A48">
        <w:rPr>
          <w:rFonts w:ascii="Titillium" w:hAnsi="Titillium" w:cs="Calibri"/>
          <w:sz w:val="18"/>
          <w:szCs w:val="18"/>
        </w:rPr>
        <w:t>La piattaforma garantisce il rispetto delle disposizioni del codice in materia di riservatezza delle operazioni e delle informazioni relative alla procedura di gara, nonché il rispetto dei principi di trasparenza</w:t>
      </w:r>
      <w:r>
        <w:rPr>
          <w:rFonts w:ascii="Titillium" w:hAnsi="Titillium" w:cs="Calibri"/>
          <w:sz w:val="18"/>
          <w:szCs w:val="18"/>
        </w:rPr>
        <w:t>.</w:t>
      </w:r>
    </w:p>
    <w:p w14:paraId="34BC713B" w14:textId="01B37377" w:rsidR="00435A48" w:rsidRPr="00435A48" w:rsidRDefault="00435A48" w:rsidP="00435A48">
      <w:pPr>
        <w:spacing w:before="60" w:after="60"/>
        <w:rPr>
          <w:rFonts w:ascii="Titillium" w:eastAsia="Arial" w:hAnsi="Titillium" w:cs="Tahoma"/>
          <w:sz w:val="18"/>
          <w:szCs w:val="18"/>
          <w:lang w:eastAsia="it-IT" w:bidi="it-IT"/>
        </w:rPr>
      </w:pPr>
      <w:r w:rsidRPr="00435A48">
        <w:rPr>
          <w:rFonts w:ascii="Titillium" w:hAnsi="Titillium" w:cs="Calibri"/>
          <w:b/>
          <w:iCs/>
          <w:sz w:val="18"/>
          <w:szCs w:val="18"/>
          <w:u w:val="single"/>
        </w:rPr>
        <w:t>Inversione procedimentale</w:t>
      </w:r>
      <w:r w:rsidRPr="00435A48">
        <w:rPr>
          <w:rFonts w:ascii="Titillium" w:hAnsi="Titillium" w:cs="Calibri"/>
          <w:b/>
          <w:iCs/>
          <w:sz w:val="18"/>
          <w:szCs w:val="18"/>
        </w:rPr>
        <w:t>:</w:t>
      </w:r>
      <w:r w:rsidRPr="00435A48">
        <w:rPr>
          <w:rFonts w:ascii="Titillium" w:hAnsi="Titillium" w:cs="Calibri"/>
          <w:b/>
          <w:sz w:val="18"/>
          <w:szCs w:val="18"/>
        </w:rPr>
        <w:t xml:space="preserve"> la stazione appaltante ha stabilito di ricorrere all’inversione procedimentale ai sensi dell’art.</w:t>
      </w:r>
      <w:r w:rsidRPr="00435A48">
        <w:rPr>
          <w:rFonts w:ascii="Titillium" w:eastAsia="Arial" w:hAnsi="Titillium" w:cs="Tahoma"/>
          <w:b/>
          <w:sz w:val="18"/>
          <w:szCs w:val="18"/>
          <w:lang w:eastAsia="it-IT" w:bidi="it-IT"/>
        </w:rPr>
        <w:t xml:space="preserve"> 107, comma 3, del D.Lgs. 36/2023</w:t>
      </w:r>
      <w:r>
        <w:rPr>
          <w:rFonts w:ascii="Titillium" w:eastAsia="Arial" w:hAnsi="Titillium" w:cs="Tahoma"/>
          <w:sz w:val="18"/>
          <w:szCs w:val="18"/>
          <w:lang w:eastAsia="it-IT" w:bidi="it-IT"/>
        </w:rPr>
        <w:t>.</w:t>
      </w:r>
    </w:p>
    <w:p w14:paraId="527B0186" w14:textId="25A1734C" w:rsidR="00435A48" w:rsidRDefault="00435A48" w:rsidP="00435A48">
      <w:pPr>
        <w:spacing w:before="60" w:after="60"/>
        <w:rPr>
          <w:rFonts w:ascii="Titillium" w:hAnsi="Titillium" w:cs="Calibri"/>
          <w:b/>
          <w:bCs/>
          <w:iCs/>
          <w:sz w:val="18"/>
          <w:szCs w:val="18"/>
        </w:rPr>
      </w:pPr>
      <w:r w:rsidRPr="00435A48">
        <w:rPr>
          <w:rFonts w:ascii="Titillium" w:hAnsi="Titillium" w:cs="Calibri"/>
          <w:b/>
          <w:sz w:val="18"/>
          <w:szCs w:val="18"/>
        </w:rPr>
        <w:t xml:space="preserve">Con l’inversione procedimentale </w:t>
      </w:r>
      <w:r w:rsidR="005735E2" w:rsidRPr="005735E2">
        <w:rPr>
          <w:rFonts w:ascii="Titillium" w:hAnsi="Titillium" w:cs="Calibri"/>
          <w:b/>
          <w:sz w:val="18"/>
          <w:szCs w:val="18"/>
        </w:rPr>
        <w:t>si procede preliminarmente, nei confronti di tutti i concorrenti, alla verifica del pagamento del contributo ANAC</w:t>
      </w:r>
      <w:r w:rsidR="00187A06">
        <w:rPr>
          <w:rFonts w:ascii="Titillium" w:hAnsi="Titillium" w:cs="Calibri"/>
          <w:b/>
          <w:sz w:val="18"/>
          <w:szCs w:val="18"/>
        </w:rPr>
        <w:t>. Successivamente</w:t>
      </w:r>
      <w:r w:rsidR="005735E2" w:rsidRPr="005735E2">
        <w:rPr>
          <w:rFonts w:ascii="Titillium" w:hAnsi="Titillium" w:cs="Calibri"/>
          <w:b/>
          <w:sz w:val="18"/>
          <w:szCs w:val="18"/>
        </w:rPr>
        <w:t xml:space="preserve"> </w:t>
      </w:r>
      <w:r w:rsidRPr="00435A48">
        <w:rPr>
          <w:rFonts w:ascii="Titillium" w:hAnsi="Titillium" w:cs="Calibri"/>
          <w:b/>
          <w:sz w:val="18"/>
          <w:szCs w:val="18"/>
        </w:rPr>
        <w:t xml:space="preserve">si </w:t>
      </w:r>
      <w:r w:rsidRPr="00435A48">
        <w:rPr>
          <w:rFonts w:ascii="Titillium" w:hAnsi="Titillium" w:cs="Calibri"/>
          <w:b/>
          <w:bCs/>
          <w:iCs/>
          <w:sz w:val="18"/>
          <w:szCs w:val="18"/>
        </w:rPr>
        <w:t>procede prima alla valutazione dell’offerta tecnica, poi alla valutazione dell’offerta economica, di tutti i concorrenti,</w:t>
      </w:r>
      <w:r w:rsidR="00C93CBF">
        <w:rPr>
          <w:rFonts w:ascii="Titillium" w:hAnsi="Titillium" w:cs="Calibri"/>
          <w:b/>
          <w:bCs/>
          <w:iCs/>
          <w:sz w:val="18"/>
          <w:szCs w:val="18"/>
        </w:rPr>
        <w:t xml:space="preserve"> </w:t>
      </w:r>
      <w:r w:rsidR="00C93CBF" w:rsidRPr="00C93CBF">
        <w:rPr>
          <w:rFonts w:ascii="Titillium" w:hAnsi="Titillium" w:cs="Calibri"/>
          <w:b/>
          <w:bCs/>
          <w:iCs/>
          <w:sz w:val="18"/>
          <w:szCs w:val="18"/>
        </w:rPr>
        <w:t>poi, alla verifica dell’anomalia e, infine, alla verifica della documentazione amministrativa del concorrente primo in graduatoria</w:t>
      </w:r>
      <w:r w:rsidRPr="00435A48">
        <w:rPr>
          <w:rFonts w:ascii="Titillium" w:hAnsi="Titillium" w:cs="Calibri"/>
          <w:b/>
          <w:bCs/>
          <w:iCs/>
          <w:sz w:val="18"/>
          <w:szCs w:val="18"/>
        </w:rPr>
        <w:t xml:space="preserve">. </w:t>
      </w:r>
    </w:p>
    <w:p w14:paraId="57BA91F3" w14:textId="65C70DD7" w:rsidR="0052050F" w:rsidRPr="0052050F" w:rsidRDefault="0052050F" w:rsidP="00435A48">
      <w:pPr>
        <w:spacing w:before="60" w:after="60"/>
        <w:rPr>
          <w:rFonts w:ascii="Titillium" w:hAnsi="Titillium" w:cs="Calibri"/>
          <w:b/>
          <w:color w:val="FF0000"/>
          <w:sz w:val="18"/>
          <w:szCs w:val="18"/>
        </w:rPr>
      </w:pPr>
      <w:r w:rsidRPr="0052050F">
        <w:rPr>
          <w:rFonts w:ascii="Titillium" w:hAnsi="Titillium" w:cs="Calibri"/>
          <w:b/>
          <w:color w:val="FF0000"/>
          <w:sz w:val="18"/>
          <w:szCs w:val="18"/>
        </w:rPr>
        <w:t>NOTA BENE: La stazione appaltante si riserva di effettuare controlli delle dichiarazioni rese dagli operatori economici concorrenti, anche a campione e in tutti i casi in cui sorgono fondati dubbi in ordine alla veridicità delle medesime.</w:t>
      </w:r>
    </w:p>
    <w:p w14:paraId="1934263C" w14:textId="77777777" w:rsidR="00B13ACF" w:rsidRPr="00B13ACF" w:rsidRDefault="00B13ACF" w:rsidP="00B13ACF">
      <w:pPr>
        <w:spacing w:before="120" w:after="120" w:line="240" w:lineRule="auto"/>
        <w:rPr>
          <w:rFonts w:ascii="Titillium" w:hAnsi="Titillium" w:cs="Calibri"/>
          <w:b/>
          <w:bCs/>
          <w:sz w:val="18"/>
          <w:szCs w:val="18"/>
        </w:rPr>
      </w:pPr>
      <w:r w:rsidRPr="00B13ACF">
        <w:rPr>
          <w:rFonts w:ascii="Titillium" w:hAnsi="Titillium" w:cs="Calibri"/>
          <w:b/>
          <w:bCs/>
          <w:sz w:val="18"/>
          <w:szCs w:val="18"/>
        </w:rPr>
        <w:t>Prima dell’inizio delle operazioni di gara, si procede alla nomina del seggio di gara, composto da personale della stazione unica appaltante e scelto secondo criteri di trasparenza e competenza, al quale si applicano le cause di incompatibilità di cui alle lettere b) e c) del comma 5 dell’Art. 93 del D.Lgs. 36/2023.</w:t>
      </w:r>
    </w:p>
    <w:p w14:paraId="00AB9CF3" w14:textId="77777777" w:rsidR="00B13ACF" w:rsidRPr="00B13ACF" w:rsidRDefault="00B13ACF" w:rsidP="00B13ACF">
      <w:pPr>
        <w:spacing w:before="120" w:after="120" w:line="240" w:lineRule="auto"/>
        <w:rPr>
          <w:rFonts w:ascii="Titillium" w:hAnsi="Titillium" w:cs="Calibri"/>
          <w:sz w:val="18"/>
          <w:szCs w:val="18"/>
        </w:rPr>
      </w:pPr>
      <w:r w:rsidRPr="00B13ACF">
        <w:rPr>
          <w:rFonts w:ascii="Titillium" w:hAnsi="Titillium" w:cs="Calibri"/>
          <w:sz w:val="18"/>
          <w:szCs w:val="18"/>
        </w:rPr>
        <w:t>Il Seggio di gara procederà, nella prima seduta pubblica, a verificare la ricezione delle offerte collocate sul SATER e, successivamente, procederà come segue:</w:t>
      </w:r>
    </w:p>
    <w:p w14:paraId="52B0BEE3" w14:textId="77777777" w:rsidR="00B13ACF" w:rsidRPr="00B13ACF" w:rsidRDefault="00B13ACF" w:rsidP="001A4751">
      <w:pPr>
        <w:numPr>
          <w:ilvl w:val="0"/>
          <w:numId w:val="48"/>
        </w:numPr>
        <w:spacing w:before="60" w:after="60" w:line="240" w:lineRule="auto"/>
        <w:ind w:left="426" w:right="-51"/>
        <w:rPr>
          <w:rFonts w:ascii="Titillium" w:hAnsi="Titillium" w:cs="Calibri"/>
          <w:bCs/>
          <w:iCs/>
          <w:sz w:val="18"/>
          <w:szCs w:val="18"/>
        </w:rPr>
      </w:pPr>
      <w:r w:rsidRPr="00B13ACF">
        <w:rPr>
          <w:rFonts w:ascii="Titillium" w:hAnsi="Titillium" w:cs="Calibri"/>
          <w:bCs/>
          <w:iCs/>
          <w:sz w:val="18"/>
          <w:szCs w:val="18"/>
        </w:rPr>
        <w:t xml:space="preserve">a sbloccare le buste contenenti la documentazione amministrativa caricata sulla piattaforma dagli operatori economici concorrenti, </w:t>
      </w:r>
      <w:r w:rsidRPr="00B13ACF">
        <w:rPr>
          <w:rFonts w:ascii="Titillium" w:hAnsi="Titillium" w:cs="Calibri"/>
          <w:b/>
          <w:iCs/>
          <w:sz w:val="18"/>
          <w:szCs w:val="18"/>
        </w:rPr>
        <w:t>verificando unicamente il pagamento della quota ANAC per tutti i concorrenti</w:t>
      </w:r>
      <w:r w:rsidRPr="00B13ACF">
        <w:rPr>
          <w:rFonts w:ascii="Titillium" w:hAnsi="Titillium" w:cs="Calibri"/>
          <w:bCs/>
          <w:iCs/>
          <w:sz w:val="18"/>
          <w:szCs w:val="18"/>
        </w:rPr>
        <w:t xml:space="preserve">; </w:t>
      </w:r>
    </w:p>
    <w:p w14:paraId="6197F589" w14:textId="77777777" w:rsidR="00B13ACF" w:rsidRPr="00B13ACF" w:rsidRDefault="00B13ACF" w:rsidP="001A4751">
      <w:pPr>
        <w:numPr>
          <w:ilvl w:val="0"/>
          <w:numId w:val="48"/>
        </w:numPr>
        <w:spacing w:before="60" w:after="60" w:line="240" w:lineRule="auto"/>
        <w:ind w:left="426" w:right="-51"/>
        <w:rPr>
          <w:rFonts w:ascii="Titillium" w:hAnsi="Titillium" w:cs="Calibri"/>
          <w:bCs/>
          <w:iCs/>
          <w:sz w:val="18"/>
          <w:szCs w:val="18"/>
        </w:rPr>
      </w:pPr>
      <w:r w:rsidRPr="00B13ACF">
        <w:rPr>
          <w:rFonts w:ascii="Titillium" w:hAnsi="Titillium" w:cs="Calibri"/>
          <w:bCs/>
          <w:iCs/>
          <w:sz w:val="18"/>
          <w:szCs w:val="18"/>
        </w:rPr>
        <w:t>ad attivare, nel caso di mancato o parziale pagamento del contributo ANAC</w:t>
      </w:r>
      <w:r w:rsidRPr="00B13ACF">
        <w:rPr>
          <w:rFonts w:ascii="Titillium" w:hAnsi="Titillium" w:cs="Calibri"/>
          <w:b/>
          <w:iCs/>
          <w:sz w:val="18"/>
          <w:szCs w:val="18"/>
        </w:rPr>
        <w:t>, il soccorso istruttorio e a procedere all’eventuale esclusione in caso di mancato riscontro entro il termine assegnato</w:t>
      </w:r>
      <w:r w:rsidRPr="00B13ACF">
        <w:rPr>
          <w:rFonts w:ascii="Titillium" w:hAnsi="Titillium" w:cs="Calibri"/>
          <w:bCs/>
          <w:iCs/>
          <w:sz w:val="18"/>
          <w:szCs w:val="18"/>
        </w:rPr>
        <w:t>;</w:t>
      </w:r>
    </w:p>
    <w:p w14:paraId="1DB383BB" w14:textId="77777777" w:rsidR="00B13ACF" w:rsidRPr="00B13ACF" w:rsidRDefault="00B13ACF" w:rsidP="001A4751">
      <w:pPr>
        <w:numPr>
          <w:ilvl w:val="0"/>
          <w:numId w:val="48"/>
        </w:numPr>
        <w:spacing w:before="60" w:after="60" w:line="240" w:lineRule="auto"/>
        <w:ind w:left="426" w:right="-51"/>
        <w:rPr>
          <w:rFonts w:ascii="Titillium" w:hAnsi="Titillium" w:cs="Calibri"/>
          <w:bCs/>
          <w:iCs/>
          <w:sz w:val="18"/>
          <w:szCs w:val="18"/>
        </w:rPr>
      </w:pPr>
      <w:r w:rsidRPr="00B13ACF">
        <w:rPr>
          <w:rFonts w:ascii="Titillium" w:hAnsi="Titillium" w:cs="Calibri"/>
          <w:bCs/>
          <w:iCs/>
          <w:sz w:val="18"/>
          <w:szCs w:val="18"/>
        </w:rPr>
        <w:t>ad assegnare a ciascun concorrente, all’esito di eventuali soccorsi istruttori di cui al punto b, lo stato di “</w:t>
      </w:r>
      <w:r w:rsidRPr="00B13ACF">
        <w:rPr>
          <w:rFonts w:ascii="Titillium" w:hAnsi="Titillium" w:cs="Calibri"/>
          <w:b/>
          <w:iCs/>
          <w:sz w:val="18"/>
          <w:szCs w:val="18"/>
        </w:rPr>
        <w:t>ammesso con inversione</w:t>
      </w:r>
      <w:r w:rsidRPr="00B13ACF">
        <w:rPr>
          <w:rFonts w:ascii="Titillium" w:hAnsi="Titillium" w:cs="Calibri"/>
          <w:bCs/>
          <w:iCs/>
          <w:sz w:val="18"/>
          <w:szCs w:val="18"/>
        </w:rPr>
        <w:t>”.</w:t>
      </w:r>
    </w:p>
    <w:p w14:paraId="05CA89F6" w14:textId="0AD1532F" w:rsidR="00C5300A" w:rsidRDefault="00B13ACF" w:rsidP="00956541">
      <w:pPr>
        <w:spacing w:before="60" w:after="240"/>
        <w:rPr>
          <w:rFonts w:ascii="Titillium" w:hAnsi="Titillium" w:cs="Calibri"/>
          <w:sz w:val="18"/>
          <w:szCs w:val="18"/>
        </w:rPr>
      </w:pPr>
      <w:r w:rsidRPr="00B13ACF">
        <w:rPr>
          <w:rFonts w:ascii="Titillium" w:hAnsi="Titillium" w:cs="Calibri"/>
          <w:sz w:val="18"/>
          <w:szCs w:val="18"/>
        </w:rPr>
        <w:t>Si chiuderà, quindi, sulla predetta piattaforma la fase di “Valutazione Amministrativa”, si provvederà alla redazione di apposito verbale relativo alle attività svolte e si procederà con le fasi di valutazione successive come di seguito descritte</w:t>
      </w:r>
      <w:r w:rsidR="0052050F" w:rsidRPr="0052050F">
        <w:rPr>
          <w:rFonts w:ascii="Titillium" w:hAnsi="Titillium" w:cs="Calibri"/>
          <w:sz w:val="18"/>
          <w:szCs w:val="18"/>
        </w:rPr>
        <w:t>.</w:t>
      </w:r>
    </w:p>
    <w:p w14:paraId="51A3F517" w14:textId="30BF5E40" w:rsidR="004C53A8" w:rsidRDefault="00870286" w:rsidP="00CC149D">
      <w:pPr>
        <w:pStyle w:val="Titolo2"/>
        <w:numPr>
          <w:ilvl w:val="0"/>
          <w:numId w:val="3"/>
        </w:numPr>
        <w:spacing w:before="60" w:after="60"/>
        <w:rPr>
          <w:rFonts w:ascii="Titillium" w:hAnsi="Titillium"/>
          <w:sz w:val="18"/>
          <w:szCs w:val="18"/>
          <w:lang w:val="it-IT"/>
        </w:rPr>
      </w:pPr>
      <w:bookmarkStart w:id="1944" w:name="_Toc89270312"/>
      <w:r>
        <w:rPr>
          <w:rFonts w:ascii="Titillium" w:hAnsi="Titillium"/>
          <w:sz w:val="18"/>
          <w:szCs w:val="18"/>
          <w:lang w:val="it-IT"/>
        </w:rPr>
        <w:t>VALUTAZIONE DELLE OFFERTE TECNICHE ED ECONOMICHE</w:t>
      </w:r>
      <w:bookmarkEnd w:id="1944"/>
    </w:p>
    <w:p w14:paraId="7E1E078E" w14:textId="77777777" w:rsidR="00AD7B75" w:rsidRPr="005A0708" w:rsidRDefault="00AD7B75" w:rsidP="00AD7B75">
      <w:pPr>
        <w:spacing w:before="60"/>
        <w:rPr>
          <w:rFonts w:ascii="Titillium" w:hAnsi="Titillium" w:cs="Calibri"/>
          <w:sz w:val="18"/>
          <w:szCs w:val="18"/>
        </w:rPr>
      </w:pPr>
      <w:r w:rsidRPr="00DB4B35">
        <w:rPr>
          <w:rFonts w:ascii="Titillium" w:hAnsi="Titillium" w:cs="Calibri"/>
          <w:sz w:val="18"/>
          <w:szCs w:val="18"/>
        </w:rPr>
        <w:t>La data e l’ora della seduta in cui si procede all’apertura delle offerte tecniche sono comunicate tramite la Piattaforma ai concorrenti che hanno presentato l’offerta nei termini previsti dal bando di gara, almeno un giorno prima della data prevista.</w:t>
      </w:r>
      <w:r>
        <w:rPr>
          <w:rFonts w:ascii="Titillium" w:hAnsi="Titillium" w:cs="Calibri"/>
          <w:sz w:val="18"/>
          <w:szCs w:val="18"/>
        </w:rPr>
        <w:t xml:space="preserve"> </w:t>
      </w:r>
    </w:p>
    <w:p w14:paraId="6114D376" w14:textId="77777777" w:rsidR="00AD7B75" w:rsidRPr="00C5300A" w:rsidRDefault="00AD7B75" w:rsidP="00AD7B75">
      <w:pPr>
        <w:spacing w:before="60"/>
        <w:rPr>
          <w:rFonts w:ascii="Titillium" w:hAnsi="Titillium" w:cs="Calibri"/>
          <w:sz w:val="18"/>
          <w:szCs w:val="18"/>
          <w:lang w:bidi="it-IT"/>
        </w:rPr>
      </w:pPr>
      <w:r w:rsidRPr="00C5300A">
        <w:rPr>
          <w:rFonts w:ascii="Titillium" w:hAnsi="Titillium" w:cs="Calibri"/>
          <w:sz w:val="18"/>
          <w:szCs w:val="18"/>
          <w:lang w:bidi="it-IT"/>
        </w:rPr>
        <w:t>L’apertura delle buste contenenti le offerte tecniche</w:t>
      </w:r>
      <w:r>
        <w:rPr>
          <w:rFonts w:ascii="Titillium" w:hAnsi="Titillium" w:cs="Calibri"/>
          <w:sz w:val="18"/>
          <w:szCs w:val="18"/>
          <w:lang w:bidi="it-IT"/>
        </w:rPr>
        <w:t xml:space="preserve"> </w:t>
      </w:r>
      <w:r w:rsidRPr="00C5300A">
        <w:rPr>
          <w:rFonts w:ascii="Titillium" w:hAnsi="Titillium" w:cs="Calibri"/>
          <w:sz w:val="18"/>
          <w:szCs w:val="18"/>
          <w:lang w:bidi="it-IT"/>
        </w:rPr>
        <w:t>sarà effettuata in seduta pubblica virtuale, al fine di procedere alla verifica della presenza dei documenti richiesti dal presente disciplinare</w:t>
      </w:r>
      <w:r>
        <w:rPr>
          <w:rFonts w:ascii="Titillium" w:hAnsi="Titillium" w:cs="Calibri"/>
          <w:sz w:val="18"/>
          <w:szCs w:val="18"/>
          <w:lang w:bidi="it-IT"/>
        </w:rPr>
        <w:t>.</w:t>
      </w:r>
    </w:p>
    <w:p w14:paraId="77013FE3" w14:textId="77777777" w:rsidR="00AD7B75" w:rsidRPr="00C5300A" w:rsidRDefault="00AD7B75" w:rsidP="00AD7B75">
      <w:pPr>
        <w:spacing w:before="60"/>
        <w:rPr>
          <w:rFonts w:ascii="Titillium" w:hAnsi="Titillium" w:cs="Calibri"/>
          <w:sz w:val="18"/>
          <w:szCs w:val="18"/>
          <w:lang w:bidi="it-IT"/>
        </w:rPr>
      </w:pPr>
      <w:r w:rsidRPr="00C5300A">
        <w:rPr>
          <w:rFonts w:ascii="Titillium" w:hAnsi="Titillium" w:cs="Calibri"/>
          <w:sz w:val="18"/>
          <w:szCs w:val="18"/>
          <w:lang w:bidi="it-IT"/>
        </w:rPr>
        <w:t>In una o più sedute riservate la Commissione giudicatrice procederà all’esame ed alla valutazione delle offerte tecniche e all’assegnazione dei relativi coefficienti e punteggi applicando i criteri e le formule indicati nel bando e nel presente disciplinare.</w:t>
      </w:r>
    </w:p>
    <w:p w14:paraId="05FCE87F" w14:textId="77777777" w:rsidR="00AD7B75" w:rsidRDefault="00AD7B75" w:rsidP="00AD7B75">
      <w:pPr>
        <w:spacing w:before="60"/>
        <w:rPr>
          <w:rFonts w:ascii="Titillium" w:hAnsi="Titillium" w:cs="Calibri"/>
          <w:sz w:val="18"/>
          <w:szCs w:val="18"/>
          <w:lang w:bidi="it-IT"/>
        </w:rPr>
      </w:pPr>
      <w:r w:rsidRPr="00C5300A">
        <w:rPr>
          <w:rFonts w:ascii="Titillium" w:hAnsi="Titillium" w:cs="Calibri"/>
          <w:sz w:val="18"/>
          <w:szCs w:val="18"/>
          <w:lang w:bidi="it-IT"/>
        </w:rPr>
        <w:t>La Commissione giudicatrice potrà invitare i concorrenti a fornire chiarimenti in ordine al contenuto della documentazione inserita nella busta dell’offerta tecnica, ove ciò sia ritenuto necessario.</w:t>
      </w:r>
    </w:p>
    <w:p w14:paraId="526FFB85" w14:textId="77777777" w:rsidR="00AD7B75" w:rsidRPr="00EB6168" w:rsidRDefault="00AD7B75" w:rsidP="00AD7B75">
      <w:pPr>
        <w:spacing w:before="60"/>
        <w:rPr>
          <w:rFonts w:ascii="Titillium" w:hAnsi="Titillium" w:cs="Calibri"/>
          <w:sz w:val="18"/>
          <w:szCs w:val="18"/>
          <w:lang w:bidi="it-IT"/>
        </w:rPr>
      </w:pPr>
      <w:r w:rsidRPr="00EB6168">
        <w:rPr>
          <w:rFonts w:ascii="Titillium" w:hAnsi="Titillium" w:cs="Calibri"/>
          <w:sz w:val="18"/>
          <w:szCs w:val="18"/>
          <w:lang w:bidi="it-IT"/>
        </w:rPr>
        <w:t>Gli esiti della valutazione sono registrati dalla Piattaforma.</w:t>
      </w:r>
    </w:p>
    <w:p w14:paraId="2D10FDAD" w14:textId="77777777" w:rsidR="00AD7B75" w:rsidRPr="00EB6168" w:rsidRDefault="00AD7B75" w:rsidP="00AD7B75">
      <w:pPr>
        <w:spacing w:before="60"/>
        <w:rPr>
          <w:rFonts w:ascii="Titillium" w:hAnsi="Titillium" w:cs="Calibri"/>
          <w:sz w:val="18"/>
          <w:szCs w:val="18"/>
          <w:lang w:bidi="it-IT"/>
        </w:rPr>
      </w:pPr>
      <w:r>
        <w:rPr>
          <w:rFonts w:ascii="Titillium" w:hAnsi="Titillium" w:cs="Calibri"/>
          <w:sz w:val="18"/>
          <w:szCs w:val="18"/>
          <w:lang w:bidi="it-IT"/>
        </w:rPr>
        <w:t>Sono visibili ai concorrenti</w:t>
      </w:r>
      <w:r w:rsidRPr="00EB6168">
        <w:rPr>
          <w:rFonts w:ascii="Titillium" w:hAnsi="Titillium" w:cs="Calibri"/>
          <w:sz w:val="18"/>
          <w:szCs w:val="18"/>
          <w:lang w:bidi="it-IT"/>
        </w:rPr>
        <w:t xml:space="preserve">: </w:t>
      </w:r>
    </w:p>
    <w:p w14:paraId="7FE09FF3" w14:textId="77777777" w:rsidR="00AD7B75" w:rsidRPr="00EB6168" w:rsidRDefault="00AD7B75" w:rsidP="00AD7B75">
      <w:pPr>
        <w:spacing w:before="60"/>
        <w:rPr>
          <w:rFonts w:ascii="Titillium" w:hAnsi="Titillium" w:cs="Calibri"/>
          <w:sz w:val="18"/>
          <w:szCs w:val="18"/>
          <w:lang w:bidi="it-IT"/>
        </w:rPr>
      </w:pPr>
      <w:r w:rsidRPr="00EB6168">
        <w:rPr>
          <w:rFonts w:ascii="Titillium" w:hAnsi="Titillium" w:cs="Calibri"/>
          <w:sz w:val="18"/>
          <w:szCs w:val="18"/>
          <w:lang w:bidi="it-IT"/>
        </w:rPr>
        <w:t>a) i punteggi tecnici attribuiti alle singole offerte tecniche;</w:t>
      </w:r>
    </w:p>
    <w:p w14:paraId="67651FC4" w14:textId="77777777" w:rsidR="00AD7B75" w:rsidRPr="00EB6168" w:rsidRDefault="00AD7B75" w:rsidP="00AD7B75">
      <w:pPr>
        <w:spacing w:before="60"/>
        <w:rPr>
          <w:rFonts w:ascii="Titillium" w:hAnsi="Titillium" w:cs="Calibri"/>
          <w:sz w:val="18"/>
          <w:szCs w:val="18"/>
          <w:lang w:bidi="it-IT"/>
        </w:rPr>
      </w:pPr>
      <w:r w:rsidRPr="00EB6168">
        <w:rPr>
          <w:rFonts w:ascii="Titillium" w:hAnsi="Titillium" w:cs="Calibri"/>
          <w:sz w:val="18"/>
          <w:szCs w:val="18"/>
          <w:lang w:bidi="it-IT"/>
        </w:rPr>
        <w:t>b) le eventuali esclusioni dalla gara dei concorrenti.</w:t>
      </w:r>
    </w:p>
    <w:p w14:paraId="2D809106" w14:textId="77777777" w:rsidR="00AD7B75" w:rsidRPr="00EB6168" w:rsidRDefault="00AD7B75" w:rsidP="00AD7B75">
      <w:pPr>
        <w:spacing w:before="60"/>
        <w:rPr>
          <w:rFonts w:ascii="Titillium" w:hAnsi="Titillium" w:cs="Calibri"/>
          <w:sz w:val="18"/>
          <w:szCs w:val="18"/>
          <w:lang w:bidi="it-IT"/>
        </w:rPr>
      </w:pPr>
      <w:r w:rsidRPr="00EB6168">
        <w:rPr>
          <w:rFonts w:ascii="Titillium" w:hAnsi="Titillium" w:cs="Calibri"/>
          <w:sz w:val="18"/>
          <w:szCs w:val="18"/>
          <w:lang w:bidi="it-IT"/>
        </w:rPr>
        <w:lastRenderedPageBreak/>
        <w:t xml:space="preserve">Al termine delle operazioni di cui sopra la Piattaforma consente la prosecuzione della procedura ai soli concorrenti ammessi alla valutazione delle offerte economiche. </w:t>
      </w:r>
    </w:p>
    <w:p w14:paraId="38485F75" w14:textId="77777777" w:rsidR="00AD7B75" w:rsidRPr="00C5300A" w:rsidRDefault="00AD7B75" w:rsidP="00AD7B75">
      <w:pPr>
        <w:spacing w:before="60"/>
        <w:rPr>
          <w:rFonts w:ascii="Titillium" w:hAnsi="Titillium" w:cs="Calibri"/>
          <w:sz w:val="18"/>
          <w:szCs w:val="18"/>
          <w:lang w:bidi="it-IT"/>
        </w:rPr>
      </w:pPr>
      <w:r w:rsidRPr="00C5300A">
        <w:rPr>
          <w:rFonts w:ascii="Titillium" w:hAnsi="Titillium" w:cs="Calibri"/>
          <w:sz w:val="18"/>
          <w:szCs w:val="18"/>
          <w:lang w:bidi="it-IT"/>
        </w:rPr>
        <w:t>La terza busta, con la dicitura "BUSTA ECONOMICA", verrà aperta in seduta pubblica virtuale, una volta conclusa la valutazione delle offerte tecniche.</w:t>
      </w:r>
    </w:p>
    <w:p w14:paraId="4B82E1E5" w14:textId="77777777" w:rsidR="00AD7B75" w:rsidRPr="00C5300A" w:rsidRDefault="00AD7B75" w:rsidP="00AD7B75">
      <w:pPr>
        <w:spacing w:before="60"/>
        <w:rPr>
          <w:rFonts w:ascii="Titillium" w:hAnsi="Titillium" w:cs="Calibri"/>
          <w:sz w:val="18"/>
          <w:szCs w:val="18"/>
          <w:lang w:bidi="it-IT"/>
        </w:rPr>
      </w:pPr>
      <w:r w:rsidRPr="00C5300A">
        <w:rPr>
          <w:rFonts w:ascii="Titillium" w:hAnsi="Titillium" w:cs="Calibri"/>
          <w:sz w:val="18"/>
          <w:szCs w:val="18"/>
          <w:lang w:bidi="it-IT"/>
        </w:rPr>
        <w:t>In tale seduta, la Commissione giudicatrice, nel giorno e ora che verranno preventivamente comunicati ai concorrenti, procederà:</w:t>
      </w:r>
    </w:p>
    <w:p w14:paraId="7720F896" w14:textId="77777777" w:rsidR="00AD7B75" w:rsidRPr="00E937E8" w:rsidRDefault="00AD7B75" w:rsidP="005D67CA">
      <w:pPr>
        <w:numPr>
          <w:ilvl w:val="0"/>
          <w:numId w:val="21"/>
        </w:numPr>
        <w:spacing w:before="60" w:after="60"/>
        <w:ind w:left="426"/>
        <w:rPr>
          <w:rFonts w:ascii="Titillium" w:hAnsi="Titillium" w:cs="Calibri"/>
          <w:sz w:val="18"/>
          <w:szCs w:val="18"/>
          <w:lang w:bidi="it-IT"/>
        </w:rPr>
      </w:pPr>
      <w:r w:rsidRPr="00E937E8">
        <w:rPr>
          <w:rFonts w:ascii="Titillium" w:hAnsi="Titillium" w:cs="Calibri"/>
          <w:sz w:val="18"/>
          <w:szCs w:val="18"/>
          <w:lang w:bidi="it-IT"/>
        </w:rPr>
        <w:t>allo sblocco delle buste “Offerta economiche” dei concorrenti ed a verificarne la correttezza formale, e alla lettura dell’offerta economica;</w:t>
      </w:r>
    </w:p>
    <w:p w14:paraId="46ED8FFF" w14:textId="77777777" w:rsidR="00AD7B75" w:rsidRPr="00E937E8" w:rsidRDefault="00AD7B75" w:rsidP="005D67CA">
      <w:pPr>
        <w:numPr>
          <w:ilvl w:val="0"/>
          <w:numId w:val="21"/>
        </w:numPr>
        <w:spacing w:before="60" w:after="60"/>
        <w:ind w:left="426"/>
        <w:rPr>
          <w:rFonts w:ascii="Titillium" w:hAnsi="Titillium" w:cs="Calibri"/>
          <w:sz w:val="18"/>
          <w:szCs w:val="18"/>
          <w:lang w:bidi="it-IT"/>
        </w:rPr>
      </w:pPr>
      <w:r w:rsidRPr="00E937E8">
        <w:rPr>
          <w:rFonts w:ascii="Titillium" w:hAnsi="Titillium" w:cs="Calibri"/>
          <w:sz w:val="18"/>
          <w:szCs w:val="18"/>
          <w:lang w:bidi="it-IT"/>
        </w:rPr>
        <w:t>all'attribuzione del punteggio al criterio di valutazione B (offerta economica);</w:t>
      </w:r>
    </w:p>
    <w:p w14:paraId="22BA0D12" w14:textId="77777777" w:rsidR="00AD7B75" w:rsidRPr="00E937E8" w:rsidRDefault="00AD7B75" w:rsidP="005D67CA">
      <w:pPr>
        <w:numPr>
          <w:ilvl w:val="0"/>
          <w:numId w:val="21"/>
        </w:numPr>
        <w:spacing w:before="60" w:after="60"/>
        <w:ind w:left="426"/>
        <w:rPr>
          <w:rFonts w:ascii="Titillium" w:hAnsi="Titillium" w:cs="Calibri"/>
          <w:sz w:val="18"/>
          <w:szCs w:val="18"/>
          <w:lang w:bidi="it-IT"/>
        </w:rPr>
      </w:pPr>
      <w:r w:rsidRPr="00E937E8">
        <w:rPr>
          <w:rFonts w:ascii="Titillium" w:hAnsi="Titillium" w:cs="Calibri"/>
          <w:sz w:val="18"/>
          <w:szCs w:val="18"/>
          <w:lang w:bidi="it-IT"/>
        </w:rPr>
        <w:t>a calcolare il punteggio complessivo ottenuto per ogni concorrente, sommando i punteggi relativi alle offerte tecniche con i punteggi relativi alle offerte economiche, stilando la graduatoria delle offerte in ordine decrescente.</w:t>
      </w:r>
    </w:p>
    <w:p w14:paraId="56942070" w14:textId="77777777" w:rsidR="00AD7B75" w:rsidRPr="00E937E8" w:rsidRDefault="00AD7B75" w:rsidP="005D67CA">
      <w:pPr>
        <w:numPr>
          <w:ilvl w:val="0"/>
          <w:numId w:val="21"/>
        </w:numPr>
        <w:spacing w:before="60" w:after="60"/>
        <w:ind w:left="426"/>
        <w:rPr>
          <w:rFonts w:ascii="Titillium" w:hAnsi="Titillium" w:cs="Calibri"/>
          <w:sz w:val="18"/>
          <w:szCs w:val="18"/>
          <w:lang w:bidi="it-IT"/>
        </w:rPr>
      </w:pPr>
      <w:r w:rsidRPr="00E937E8">
        <w:rPr>
          <w:rFonts w:ascii="Titillium" w:hAnsi="Titillium" w:cs="Calibri"/>
          <w:sz w:val="18"/>
          <w:szCs w:val="18"/>
          <w:lang w:bidi="it-IT"/>
        </w:rPr>
        <w:t>ad indicare al Responsabile del Progetto (R.U.P.) del Comune le offerte che, secondo quanto previsto dall'art. 110 del D.lgs 36/2023, appaiono, sulla base di elementi specifici, potenzialmente anomale, ferma restando la facoltà del R.U.P. di decidere al riguardo.</w:t>
      </w:r>
    </w:p>
    <w:p w14:paraId="0BAD4BAC" w14:textId="77777777" w:rsidR="00AD7B75" w:rsidRPr="00E937E8" w:rsidRDefault="00AD7B75" w:rsidP="00AD7B75">
      <w:pPr>
        <w:spacing w:before="60"/>
        <w:rPr>
          <w:rFonts w:ascii="Titillium" w:hAnsi="Titillium" w:cs="Calibri"/>
          <w:sz w:val="18"/>
          <w:szCs w:val="18"/>
          <w:lang w:bidi="it-IT"/>
        </w:rPr>
      </w:pPr>
      <w:r w:rsidRPr="00E937E8">
        <w:rPr>
          <w:rFonts w:ascii="Titillium" w:hAnsi="Titillium" w:cs="Calibri"/>
          <w:sz w:val="18"/>
          <w:szCs w:val="18"/>
          <w:lang w:bidi="it-IT"/>
        </w:rPr>
        <w:t>Qualora non si rilevi la presenza di offerte anormalmente basse, nella stessa seduta si dichiarerà l’aggiudicatario proposto.</w:t>
      </w:r>
    </w:p>
    <w:p w14:paraId="123CB6F1" w14:textId="77777777" w:rsidR="00AD7B75" w:rsidRPr="00E937E8" w:rsidRDefault="00AD7B75" w:rsidP="00AD7B75">
      <w:pPr>
        <w:spacing w:before="60"/>
        <w:rPr>
          <w:rFonts w:ascii="Titillium" w:hAnsi="Titillium" w:cs="Calibri"/>
          <w:sz w:val="18"/>
          <w:szCs w:val="18"/>
          <w:lang w:bidi="it-IT"/>
        </w:rPr>
      </w:pPr>
      <w:r w:rsidRPr="00E937E8">
        <w:rPr>
          <w:rFonts w:ascii="Titillium" w:hAnsi="Titillium" w:cs="Calibri"/>
          <w:sz w:val="18"/>
          <w:szCs w:val="18"/>
          <w:lang w:bidi="it-IT"/>
        </w:rPr>
        <w:t>Nel caso in cui le offerte di due o più concorrenti ottengano lo stesso punteggio complessivo, ma punteggi parziali differenti, sarà collocato primo in graduatoria il concorrente che ha ottenuto il miglior punteggio sull’offerta tecnica. Nel caso in cui le offerte di due o più concorrenti ottengano gli stessi punteggi parziali, si procederà in seduta pubblica mediante sorteggio automatico previsto dalla piattaforma SATER.</w:t>
      </w:r>
    </w:p>
    <w:p w14:paraId="3E42EA88" w14:textId="77777777" w:rsidR="00AD7B75" w:rsidRPr="00E937E8" w:rsidRDefault="00AD7B75" w:rsidP="00AD7B75">
      <w:pPr>
        <w:spacing w:before="60"/>
        <w:rPr>
          <w:rFonts w:ascii="Titillium" w:hAnsi="Titillium" w:cs="Calibri"/>
          <w:sz w:val="18"/>
          <w:szCs w:val="18"/>
        </w:rPr>
      </w:pPr>
      <w:r w:rsidRPr="00E937E8">
        <w:rPr>
          <w:rFonts w:ascii="Titillium" w:hAnsi="Titillium" w:cs="Calibri"/>
          <w:sz w:val="18"/>
          <w:szCs w:val="18"/>
        </w:rPr>
        <w:t xml:space="preserve">In qualsiasi fase delle operazioni di valutazione delle offerte tecniche ed economiche, la commissione provvede a comunicare, tempestivamente </w:t>
      </w:r>
      <w:r w:rsidRPr="00E937E8">
        <w:rPr>
          <w:rFonts w:ascii="Titillium" w:hAnsi="Titillium"/>
          <w:sz w:val="18"/>
          <w:szCs w:val="18"/>
        </w:rPr>
        <w:t xml:space="preserve">al </w:t>
      </w:r>
      <w:r w:rsidRPr="00E937E8">
        <w:rPr>
          <w:rFonts w:ascii="Titillium" w:hAnsi="Titillium" w:cs="Garamond"/>
          <w:sz w:val="18"/>
          <w:szCs w:val="18"/>
        </w:rPr>
        <w:t>seggio di gara i casi di esclusione da disporre per:</w:t>
      </w:r>
      <w:r w:rsidRPr="00E937E8">
        <w:rPr>
          <w:rFonts w:ascii="Titillium" w:hAnsi="Titillium" w:cs="Calibri"/>
          <w:sz w:val="18"/>
          <w:szCs w:val="18"/>
        </w:rPr>
        <w:t xml:space="preserve"> </w:t>
      </w:r>
    </w:p>
    <w:p w14:paraId="282C38FA" w14:textId="77777777" w:rsidR="00AD7B75" w:rsidRPr="00E937E8" w:rsidRDefault="00AD7B75" w:rsidP="005D67CA">
      <w:pPr>
        <w:numPr>
          <w:ilvl w:val="0"/>
          <w:numId w:val="21"/>
        </w:numPr>
        <w:spacing w:before="60" w:after="60"/>
        <w:ind w:left="426"/>
        <w:rPr>
          <w:rFonts w:ascii="Titillium" w:hAnsi="Titillium" w:cs="Calibri"/>
          <w:sz w:val="18"/>
          <w:szCs w:val="18"/>
          <w:lang w:bidi="it-IT"/>
        </w:rPr>
      </w:pPr>
      <w:r w:rsidRPr="00E937E8">
        <w:rPr>
          <w:rFonts w:ascii="Titillium" w:hAnsi="Titillium" w:cs="Calibri"/>
          <w:sz w:val="18"/>
          <w:szCs w:val="18"/>
          <w:lang w:bidi="it-IT"/>
        </w:rPr>
        <w:t>mancata separazione dell’offerta economica dall’offerta tecnica, ovvero inserimento di elementi concernenti il prezzo nella documentazione amministrativa o nell’offerta tecnica;</w:t>
      </w:r>
    </w:p>
    <w:p w14:paraId="439292EE" w14:textId="77777777" w:rsidR="00AD7B75" w:rsidRPr="00E937E8" w:rsidRDefault="00AD7B75" w:rsidP="005D67CA">
      <w:pPr>
        <w:numPr>
          <w:ilvl w:val="0"/>
          <w:numId w:val="21"/>
        </w:numPr>
        <w:spacing w:before="60" w:after="60"/>
        <w:ind w:left="426"/>
        <w:rPr>
          <w:rFonts w:ascii="Titillium" w:hAnsi="Titillium" w:cs="Calibri"/>
          <w:sz w:val="18"/>
          <w:szCs w:val="18"/>
          <w:lang w:bidi="it-IT"/>
        </w:rPr>
      </w:pPr>
      <w:r w:rsidRPr="00E937E8">
        <w:rPr>
          <w:rFonts w:ascii="Titillium" w:hAnsi="Titillium" w:cs="Calibri"/>
          <w:sz w:val="18"/>
          <w:szCs w:val="18"/>
          <w:lang w:bidi="it-IT"/>
        </w:rPr>
        <w:t>presentazione di offerte parziali, plurime, condizionate, alternative oppure irregolari in quanto non rispettano i documenti di gara, ivi comprese le specifiche tecniche, o anormalmente basse;</w:t>
      </w:r>
    </w:p>
    <w:p w14:paraId="22635AE7" w14:textId="191A2F20" w:rsidR="00684DCA" w:rsidRPr="00684DCA" w:rsidRDefault="00AD7B75" w:rsidP="00597323">
      <w:pPr>
        <w:numPr>
          <w:ilvl w:val="0"/>
          <w:numId w:val="21"/>
        </w:numPr>
        <w:spacing w:before="60" w:after="60"/>
        <w:ind w:left="426"/>
        <w:rPr>
          <w:rFonts w:ascii="Titillium" w:hAnsi="Titillium" w:cs="Calibri"/>
          <w:sz w:val="18"/>
          <w:szCs w:val="18"/>
          <w:lang w:bidi="it-IT"/>
        </w:rPr>
      </w:pPr>
      <w:r w:rsidRPr="00E937E8">
        <w:rPr>
          <w:rFonts w:ascii="Titillium" w:hAnsi="Titillium" w:cs="Calibri"/>
          <w:sz w:val="18"/>
          <w:szCs w:val="18"/>
          <w:lang w:bidi="it-IT"/>
        </w:rPr>
        <w:t>presentazione di offerte inammissibili in quanto la commissione giudicatrice ha ritenuto sussistenti gli estremi per l’informativa alla Procura della Repubblica per reati di corruzione o fenomeni collusivi o ha verificato essere in aumento rispetto all’importo a base di gara.</w:t>
      </w:r>
    </w:p>
    <w:p w14:paraId="649D43C8" w14:textId="4726FF83" w:rsidR="004C53A8" w:rsidRDefault="00085E9E" w:rsidP="00CC149D">
      <w:pPr>
        <w:pStyle w:val="Titolo2"/>
        <w:numPr>
          <w:ilvl w:val="0"/>
          <w:numId w:val="3"/>
        </w:numPr>
        <w:ind w:left="357" w:hanging="357"/>
        <w:rPr>
          <w:rFonts w:ascii="Titillium" w:hAnsi="Titillium"/>
          <w:sz w:val="18"/>
          <w:szCs w:val="18"/>
        </w:rPr>
      </w:pPr>
      <w:bookmarkStart w:id="1945" w:name="_Toc381775856"/>
      <w:bookmarkStart w:id="1946" w:name="_Toc485218335"/>
      <w:bookmarkStart w:id="1947" w:name="_Toc484688900"/>
      <w:bookmarkStart w:id="1948" w:name="_Toc484688345"/>
      <w:bookmarkStart w:id="1949" w:name="_Toc484605476"/>
      <w:bookmarkStart w:id="1950" w:name="_Toc484605352"/>
      <w:bookmarkStart w:id="1951" w:name="_Toc484526632"/>
      <w:bookmarkStart w:id="1952" w:name="_Toc484449137"/>
      <w:bookmarkStart w:id="1953" w:name="_Toc484449013"/>
      <w:bookmarkStart w:id="1954" w:name="_Toc484448889"/>
      <w:bookmarkStart w:id="1955" w:name="_Toc484448766"/>
      <w:bookmarkStart w:id="1956" w:name="_Toc484448642"/>
      <w:bookmarkStart w:id="1957" w:name="_Toc484448518"/>
      <w:bookmarkStart w:id="1958" w:name="_Toc484448394"/>
      <w:bookmarkStart w:id="1959" w:name="_Toc484448270"/>
      <w:bookmarkStart w:id="1960" w:name="_Toc484448146"/>
      <w:bookmarkStart w:id="1961" w:name="_Toc484440486"/>
      <w:bookmarkStart w:id="1962" w:name="_Toc484440126"/>
      <w:bookmarkStart w:id="1963" w:name="_Toc484440002"/>
      <w:bookmarkStart w:id="1964" w:name="_Toc484439879"/>
      <w:bookmarkStart w:id="1965" w:name="_Toc484438959"/>
      <w:bookmarkStart w:id="1966" w:name="_Toc484438835"/>
      <w:bookmarkStart w:id="1967" w:name="_Toc484438711"/>
      <w:bookmarkStart w:id="1968" w:name="_Toc484429136"/>
      <w:bookmarkStart w:id="1969" w:name="_Toc484428966"/>
      <w:bookmarkStart w:id="1970" w:name="_Toc484097792"/>
      <w:bookmarkStart w:id="1971" w:name="_Toc484011718"/>
      <w:bookmarkStart w:id="1972" w:name="_Toc484011243"/>
      <w:bookmarkStart w:id="1973" w:name="_Toc484011121"/>
      <w:bookmarkStart w:id="1974" w:name="_Toc484010999"/>
      <w:bookmarkStart w:id="1975" w:name="_Toc484010875"/>
      <w:bookmarkStart w:id="1976" w:name="_Toc484010753"/>
      <w:bookmarkStart w:id="1977" w:name="_Toc483907003"/>
      <w:bookmarkStart w:id="1978" w:name="_Toc3539903981"/>
      <w:bookmarkStart w:id="1979" w:name="_Toc381776132"/>
      <w:bookmarkStart w:id="1980" w:name="_Toc416423376"/>
      <w:bookmarkStart w:id="1981" w:name="_Toc406754193"/>
      <w:bookmarkStart w:id="1982" w:name="_Toc406058392"/>
      <w:bookmarkStart w:id="1983" w:name="_Toc403471284"/>
      <w:bookmarkStart w:id="1984" w:name="_Toc397422877"/>
      <w:bookmarkStart w:id="1985" w:name="_Toc397346836"/>
      <w:bookmarkStart w:id="1986" w:name="_Toc393706921"/>
      <w:bookmarkStart w:id="1987" w:name="_Toc393700848"/>
      <w:bookmarkStart w:id="1988" w:name="_Toc393283189"/>
      <w:bookmarkStart w:id="1989" w:name="_Toc393272673"/>
      <w:bookmarkStart w:id="1990" w:name="_Toc393272615"/>
      <w:bookmarkStart w:id="1991" w:name="_Toc393187859"/>
      <w:bookmarkStart w:id="1992" w:name="_Toc393112142"/>
      <w:bookmarkStart w:id="1993" w:name="_Toc393110578"/>
      <w:bookmarkStart w:id="1994" w:name="_Toc392577511"/>
      <w:bookmarkStart w:id="1995" w:name="_Toc391036070"/>
      <w:bookmarkStart w:id="1996" w:name="_Toc391035997"/>
      <w:bookmarkStart w:id="1997" w:name="_Toc380501884"/>
      <w:bookmarkStart w:id="1998" w:name="_Toc89270313"/>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r>
        <w:rPr>
          <w:rFonts w:ascii="Titillium" w:hAnsi="Titillium"/>
          <w:sz w:val="18"/>
          <w:szCs w:val="18"/>
          <w:lang w:val="it-IT"/>
        </w:rPr>
        <w:t xml:space="preserve"> </w:t>
      </w:r>
      <w:r w:rsidR="00870286">
        <w:rPr>
          <w:rFonts w:ascii="Titillium" w:hAnsi="Titillium"/>
          <w:sz w:val="18"/>
          <w:szCs w:val="18"/>
        </w:rPr>
        <w:t>VERIFICA DI ANOMALIA DELLE OFFERTE</w:t>
      </w:r>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p>
    <w:p w14:paraId="684D6C77" w14:textId="77777777" w:rsidR="009D0A7B" w:rsidRPr="003A3235" w:rsidRDefault="009D0A7B" w:rsidP="009D0A7B">
      <w:pPr>
        <w:spacing w:before="60"/>
        <w:rPr>
          <w:rFonts w:ascii="Titillium" w:hAnsi="Titillium" w:cs="Calibri"/>
          <w:sz w:val="18"/>
          <w:szCs w:val="18"/>
        </w:rPr>
      </w:pPr>
      <w:r w:rsidRPr="00F96B68">
        <w:rPr>
          <w:rFonts w:ascii="Titillium" w:hAnsi="Titillium" w:cs="Calibri"/>
          <w:sz w:val="18"/>
          <w:szCs w:val="18"/>
        </w:rPr>
        <w:t>Sono considerate anormalmente basse le offerte che non garantiscano serietà, sostenibilità e realizzazione delle migliorie offerte. La stazione appaltante si riserva la facoltà di sottoporre a verifica un’offerta che, in base anche ad altri elementi, ivi inclusi i costi della manodopera, appaia anormalmente bassa.</w:t>
      </w:r>
    </w:p>
    <w:p w14:paraId="7D47078A" w14:textId="77777777" w:rsidR="009D0A7B" w:rsidRPr="003A3235" w:rsidRDefault="009D0A7B" w:rsidP="009D0A7B">
      <w:pPr>
        <w:spacing w:before="60"/>
        <w:rPr>
          <w:rFonts w:ascii="Titillium" w:hAnsi="Titillium" w:cs="Calibri"/>
          <w:sz w:val="18"/>
          <w:szCs w:val="18"/>
        </w:rPr>
      </w:pPr>
      <w:r w:rsidRPr="003A3235">
        <w:rPr>
          <w:rFonts w:ascii="Titillium" w:hAnsi="Titillium" w:cs="Calibri"/>
          <w:sz w:val="18"/>
          <w:szCs w:val="18"/>
        </w:rPr>
        <w:t>Nel caso in cui la prima migliore offerta appaia anormalmente bassa, il RUP, avvalendosi del supporto della Commissione, ne valuta la congruità, serietà, sostenibilità e realizzabilità.</w:t>
      </w:r>
    </w:p>
    <w:p w14:paraId="28F93212" w14:textId="77777777" w:rsidR="009D0A7B" w:rsidRPr="003A3235" w:rsidRDefault="009D0A7B" w:rsidP="009D0A7B">
      <w:pPr>
        <w:spacing w:before="60"/>
        <w:rPr>
          <w:rFonts w:ascii="Titillium" w:hAnsi="Titillium" w:cs="Calibri"/>
          <w:sz w:val="18"/>
          <w:szCs w:val="18"/>
        </w:rPr>
      </w:pPr>
      <w:r w:rsidRPr="003A3235">
        <w:rPr>
          <w:rFonts w:ascii="Titillium" w:hAnsi="Titillium" w:cs="Calibri"/>
          <w:sz w:val="18"/>
          <w:szCs w:val="18"/>
        </w:rPr>
        <w:t xml:space="preserve">Qualora tale offerta risulti anomala, si procede con le stesse modalità nei confronti delle successive offerte ritenute anormalmente basse, fino ad individuare la migliore offerta ritenuta non anomala. </w:t>
      </w:r>
    </w:p>
    <w:p w14:paraId="7B02969B" w14:textId="77777777" w:rsidR="009D0A7B" w:rsidRPr="003A3235" w:rsidRDefault="009D0A7B" w:rsidP="009D0A7B">
      <w:pPr>
        <w:spacing w:before="60"/>
        <w:rPr>
          <w:rFonts w:ascii="Titillium" w:hAnsi="Titillium" w:cs="Calibri"/>
          <w:sz w:val="18"/>
          <w:szCs w:val="18"/>
        </w:rPr>
      </w:pPr>
      <w:r w:rsidRPr="003A3235">
        <w:rPr>
          <w:rFonts w:ascii="Titillium" w:hAnsi="Titillium" w:cs="Calibri"/>
          <w:sz w:val="18"/>
          <w:szCs w:val="18"/>
        </w:rPr>
        <w:t xml:space="preserve">Il concorrente allega, in sede di presentazione dell’offerta economica, le giustificazioni relative alle voci di prezzo e di costo. La mancata presentazione anticipata delle giustificazioni non è causa di esclusione. </w:t>
      </w:r>
    </w:p>
    <w:p w14:paraId="2D58AFBF" w14:textId="77777777" w:rsidR="009D0A7B" w:rsidRPr="003A3235" w:rsidRDefault="009D0A7B" w:rsidP="009D0A7B">
      <w:pPr>
        <w:spacing w:before="60"/>
        <w:rPr>
          <w:rFonts w:ascii="Titillium" w:hAnsi="Titillium" w:cs="Calibri"/>
          <w:sz w:val="18"/>
          <w:szCs w:val="18"/>
        </w:rPr>
      </w:pPr>
      <w:r w:rsidRPr="003A3235">
        <w:rPr>
          <w:rFonts w:ascii="Titillium" w:hAnsi="Titillium" w:cs="Calibri"/>
          <w:sz w:val="18"/>
          <w:szCs w:val="18"/>
        </w:rPr>
        <w:t>Il RUP richiede al concorrente la presentazione delle spiegazioni, se del caso, indicando le componenti specifiche dell’offerta ritenute anomale.</w:t>
      </w:r>
    </w:p>
    <w:p w14:paraId="3E5AFA8B" w14:textId="77777777" w:rsidR="009D0A7B" w:rsidRPr="003A3235" w:rsidRDefault="009D0A7B" w:rsidP="009D0A7B">
      <w:pPr>
        <w:spacing w:before="60"/>
        <w:rPr>
          <w:rFonts w:ascii="Titillium" w:hAnsi="Titillium" w:cs="Calibri"/>
          <w:sz w:val="18"/>
          <w:szCs w:val="18"/>
        </w:rPr>
      </w:pPr>
      <w:r w:rsidRPr="003A3235">
        <w:rPr>
          <w:rFonts w:ascii="Titillium" w:hAnsi="Titillium" w:cs="Calibri"/>
          <w:sz w:val="18"/>
          <w:szCs w:val="18"/>
        </w:rPr>
        <w:t>Ai sensi dell’art. 110 del D.lgs 36/2023 e in ragione delle caratteristiche del presente appalto, verranno considerate le spiegazioni relative:</w:t>
      </w:r>
    </w:p>
    <w:p w14:paraId="434A7D43" w14:textId="77777777" w:rsidR="009D0A7B" w:rsidRPr="003A3235" w:rsidRDefault="009D0A7B" w:rsidP="005D67CA">
      <w:pPr>
        <w:pStyle w:val="Paragrafoelenco"/>
        <w:numPr>
          <w:ilvl w:val="0"/>
          <w:numId w:val="35"/>
        </w:numPr>
        <w:spacing w:before="60" w:after="60"/>
        <w:ind w:left="426"/>
        <w:rPr>
          <w:rFonts w:ascii="Titillium" w:hAnsi="Titillium" w:cs="Calibri"/>
          <w:sz w:val="18"/>
          <w:szCs w:val="18"/>
        </w:rPr>
      </w:pPr>
      <w:r w:rsidRPr="003A3235">
        <w:rPr>
          <w:rFonts w:ascii="Titillium" w:hAnsi="Titillium" w:cs="Calibri"/>
          <w:sz w:val="18"/>
          <w:szCs w:val="18"/>
        </w:rPr>
        <w:t>all’economia del processo dei servizi prestati</w:t>
      </w:r>
    </w:p>
    <w:p w14:paraId="1BB45A38" w14:textId="77777777" w:rsidR="009D0A7B" w:rsidRPr="003A3235" w:rsidRDefault="009D0A7B" w:rsidP="005D67CA">
      <w:pPr>
        <w:pStyle w:val="Paragrafoelenco"/>
        <w:numPr>
          <w:ilvl w:val="0"/>
          <w:numId w:val="35"/>
        </w:numPr>
        <w:spacing w:before="60" w:after="60"/>
        <w:ind w:left="426"/>
        <w:rPr>
          <w:rFonts w:ascii="Titillium" w:hAnsi="Titillium" w:cs="Calibri"/>
          <w:sz w:val="18"/>
          <w:szCs w:val="18"/>
        </w:rPr>
      </w:pPr>
      <w:r w:rsidRPr="003A3235">
        <w:rPr>
          <w:rFonts w:ascii="Titillium" w:hAnsi="Titillium" w:cs="Calibri"/>
          <w:sz w:val="18"/>
          <w:szCs w:val="18"/>
        </w:rPr>
        <w:t>alle soluzioni tecniche prescelte o le condizioni eccezionalmente favorevoli di cui dispone l’offerente per prestare i servizi</w:t>
      </w:r>
    </w:p>
    <w:p w14:paraId="70F5D8E1" w14:textId="77777777" w:rsidR="009D0A7B" w:rsidRPr="003A3235" w:rsidRDefault="009D0A7B" w:rsidP="005D67CA">
      <w:pPr>
        <w:pStyle w:val="Paragrafoelenco"/>
        <w:numPr>
          <w:ilvl w:val="0"/>
          <w:numId w:val="35"/>
        </w:numPr>
        <w:spacing w:before="60" w:after="60"/>
        <w:ind w:left="426"/>
        <w:rPr>
          <w:rFonts w:ascii="Titillium" w:hAnsi="Titillium" w:cs="Calibri"/>
          <w:sz w:val="18"/>
          <w:szCs w:val="18"/>
        </w:rPr>
      </w:pPr>
      <w:r w:rsidRPr="003A3235">
        <w:rPr>
          <w:rFonts w:ascii="Titillium" w:hAnsi="Titillium" w:cs="Calibri"/>
          <w:sz w:val="18"/>
          <w:szCs w:val="18"/>
        </w:rPr>
        <w:t>l’originalità dei servizi proposti dall’offerente.</w:t>
      </w:r>
    </w:p>
    <w:p w14:paraId="228E14F8" w14:textId="77777777" w:rsidR="009D0A7B" w:rsidRPr="003A3235" w:rsidRDefault="009D0A7B" w:rsidP="009D0A7B">
      <w:pPr>
        <w:spacing w:before="60"/>
        <w:rPr>
          <w:rFonts w:ascii="Titillium" w:hAnsi="Titillium" w:cs="Calibri"/>
          <w:sz w:val="18"/>
          <w:szCs w:val="18"/>
        </w:rPr>
      </w:pPr>
      <w:r w:rsidRPr="003A3235">
        <w:rPr>
          <w:rFonts w:ascii="Titillium" w:hAnsi="Titillium" w:cs="Calibri"/>
          <w:sz w:val="18"/>
          <w:szCs w:val="18"/>
        </w:rPr>
        <w:lastRenderedPageBreak/>
        <w:t>A tal fine, assegna un termine non superiore a quindici giorni dal ricevimento della richiesta.</w:t>
      </w:r>
    </w:p>
    <w:p w14:paraId="3FC730DB" w14:textId="77777777" w:rsidR="009D0A7B" w:rsidRPr="003A3235" w:rsidRDefault="009D0A7B" w:rsidP="009D0A7B">
      <w:pPr>
        <w:spacing w:before="60"/>
        <w:rPr>
          <w:rFonts w:ascii="Titillium" w:hAnsi="Titillium" w:cs="Calibri"/>
          <w:sz w:val="18"/>
          <w:szCs w:val="18"/>
        </w:rPr>
      </w:pPr>
      <w:r w:rsidRPr="003A3235">
        <w:rPr>
          <w:rFonts w:ascii="Titillium" w:hAnsi="Titillium" w:cs="Calibri"/>
          <w:sz w:val="18"/>
          <w:szCs w:val="18"/>
        </w:rPr>
        <w:t>Il RUP, esaminate le spiegazioni fornite dall’offerente, ove le ritenga non sufficienti ad escludere l’anomalia, può chiedere, anche mediante audizione orale, ulteriori chiarimenti, assegnando un termine perentorio per il riscontro.</w:t>
      </w:r>
    </w:p>
    <w:p w14:paraId="0DD58726" w14:textId="57AA1554" w:rsidR="008E2A27" w:rsidRDefault="009D0A7B" w:rsidP="009D0A7B">
      <w:pPr>
        <w:spacing w:before="60" w:after="60"/>
        <w:rPr>
          <w:rFonts w:ascii="Titillium" w:hAnsi="Titillium" w:cs="Calibri"/>
          <w:sz w:val="18"/>
          <w:szCs w:val="18"/>
        </w:rPr>
      </w:pPr>
      <w:r w:rsidRPr="003A3235">
        <w:rPr>
          <w:rFonts w:ascii="Titillium" w:hAnsi="Titillium" w:cs="Calibri"/>
          <w:sz w:val="18"/>
          <w:szCs w:val="18"/>
        </w:rPr>
        <w:t>Il RUP esclude le offerte che, in base all’esame degli elementi forniti con le spiegazioni risultino, nel complesso, inaffidabili</w:t>
      </w:r>
      <w:r w:rsidR="008E2A27" w:rsidRPr="003A3235">
        <w:rPr>
          <w:rFonts w:ascii="Titillium" w:hAnsi="Titillium" w:cs="Calibri"/>
          <w:sz w:val="18"/>
          <w:szCs w:val="18"/>
        </w:rPr>
        <w:t>.</w:t>
      </w:r>
    </w:p>
    <w:p w14:paraId="1D868B8D" w14:textId="10BBBC4B" w:rsidR="006F7F3E" w:rsidRPr="006F7F3E" w:rsidRDefault="00870286" w:rsidP="00473A92">
      <w:pPr>
        <w:pStyle w:val="Titolo2"/>
        <w:numPr>
          <w:ilvl w:val="0"/>
          <w:numId w:val="3"/>
        </w:numPr>
        <w:spacing w:before="240" w:after="0"/>
      </w:pPr>
      <w:bookmarkStart w:id="1999" w:name="_Toc89270314"/>
      <w:r>
        <w:rPr>
          <w:rFonts w:ascii="Titillium" w:eastAsia="SimSun" w:hAnsi="Titillium" w:cs="Calibri"/>
          <w:sz w:val="18"/>
          <w:szCs w:val="18"/>
          <w:lang w:val="it-IT"/>
        </w:rPr>
        <w:t>VERIFICA DELLA DOCUMENTAZIONE AMMINISTRATIVA</w:t>
      </w:r>
      <w:bookmarkEnd w:id="1999"/>
      <w:r>
        <w:rPr>
          <w:rFonts w:ascii="Titillium" w:eastAsia="SimSun" w:hAnsi="Titillium" w:cs="Calibri"/>
          <w:sz w:val="18"/>
          <w:szCs w:val="18"/>
          <w:lang w:val="it-IT"/>
        </w:rPr>
        <w:t xml:space="preserve"> </w:t>
      </w:r>
    </w:p>
    <w:p w14:paraId="4FB2B21B" w14:textId="77777777" w:rsidR="007D1AA9" w:rsidRPr="001D695C" w:rsidRDefault="007D1AA9" w:rsidP="007D1AA9">
      <w:pPr>
        <w:tabs>
          <w:tab w:val="left" w:pos="851"/>
        </w:tabs>
        <w:spacing w:before="60"/>
        <w:rPr>
          <w:rFonts w:ascii="Titillium" w:eastAsia="SimSun" w:hAnsi="Titillium"/>
          <w:sz w:val="18"/>
          <w:szCs w:val="18"/>
        </w:rPr>
      </w:pPr>
      <w:r>
        <w:rPr>
          <w:rFonts w:ascii="Titillium" w:eastAsia="SimSun" w:hAnsi="Titillium"/>
          <w:sz w:val="18"/>
          <w:szCs w:val="18"/>
        </w:rPr>
        <w:t>I</w:t>
      </w:r>
      <w:r w:rsidRPr="00F20F65">
        <w:rPr>
          <w:rFonts w:ascii="Titillium" w:eastAsia="SimSun" w:hAnsi="Titillium"/>
          <w:sz w:val="18"/>
          <w:szCs w:val="18"/>
        </w:rPr>
        <w:t>l Seggio di gara procederà all’esame della documentazione amministrativa del</w:t>
      </w:r>
      <w:r>
        <w:rPr>
          <w:rFonts w:ascii="Titillium" w:eastAsia="SimSun" w:hAnsi="Titillium"/>
          <w:sz w:val="18"/>
          <w:szCs w:val="18"/>
        </w:rPr>
        <w:t xml:space="preserve"> miglior offerente</w:t>
      </w:r>
      <w:r w:rsidRPr="00F20F65">
        <w:rPr>
          <w:rFonts w:ascii="Titillium" w:eastAsia="SimSun" w:hAnsi="Titillium"/>
          <w:sz w:val="18"/>
          <w:szCs w:val="18"/>
        </w:rPr>
        <w:t>,</w:t>
      </w:r>
      <w:r w:rsidRPr="001D695C">
        <w:rPr>
          <w:rFonts w:ascii="Titillium" w:eastAsia="SimSun" w:hAnsi="Titillium"/>
          <w:sz w:val="18"/>
          <w:szCs w:val="18"/>
        </w:rPr>
        <w:t xml:space="preserve"> a: </w:t>
      </w:r>
    </w:p>
    <w:p w14:paraId="156792F3" w14:textId="77777777" w:rsidR="007D1AA9" w:rsidRPr="001D695C" w:rsidRDefault="007D1AA9" w:rsidP="005D67CA">
      <w:pPr>
        <w:numPr>
          <w:ilvl w:val="0"/>
          <w:numId w:val="30"/>
        </w:numPr>
        <w:spacing w:before="60" w:after="60"/>
        <w:ind w:left="426"/>
        <w:rPr>
          <w:rFonts w:ascii="Titillium" w:eastAsia="SimSun" w:hAnsi="Titillium"/>
          <w:sz w:val="18"/>
          <w:szCs w:val="18"/>
        </w:rPr>
      </w:pPr>
      <w:r w:rsidRPr="001D695C">
        <w:rPr>
          <w:rFonts w:ascii="Titillium" w:eastAsia="SimSun" w:hAnsi="Titillium"/>
          <w:sz w:val="18"/>
          <w:szCs w:val="18"/>
        </w:rPr>
        <w:t>controllare la completezza della documentazione amministrativa presentata;</w:t>
      </w:r>
    </w:p>
    <w:p w14:paraId="417D1F49" w14:textId="77777777" w:rsidR="007D1AA9" w:rsidRPr="001D695C" w:rsidRDefault="007D1AA9" w:rsidP="005D67CA">
      <w:pPr>
        <w:numPr>
          <w:ilvl w:val="0"/>
          <w:numId w:val="30"/>
        </w:numPr>
        <w:spacing w:before="60" w:after="60"/>
        <w:ind w:left="426"/>
        <w:rPr>
          <w:rFonts w:ascii="Titillium" w:eastAsia="SimSun" w:hAnsi="Titillium"/>
          <w:sz w:val="18"/>
          <w:szCs w:val="18"/>
        </w:rPr>
      </w:pPr>
      <w:r w:rsidRPr="001D695C">
        <w:rPr>
          <w:rFonts w:ascii="Titillium" w:eastAsia="SimSun" w:hAnsi="Titillium"/>
          <w:sz w:val="18"/>
          <w:szCs w:val="18"/>
        </w:rPr>
        <w:t>verificare la conformità della documentazione amministrativa a quanto richiesto nel presente disciplinare;</w:t>
      </w:r>
    </w:p>
    <w:p w14:paraId="78261765" w14:textId="77777777" w:rsidR="007D1AA9" w:rsidRPr="001D695C" w:rsidRDefault="007D1AA9" w:rsidP="005D67CA">
      <w:pPr>
        <w:numPr>
          <w:ilvl w:val="0"/>
          <w:numId w:val="30"/>
        </w:numPr>
        <w:spacing w:before="60" w:after="60"/>
        <w:ind w:left="426"/>
        <w:rPr>
          <w:rFonts w:ascii="Titillium" w:eastAsia="SimSun" w:hAnsi="Titillium"/>
          <w:sz w:val="18"/>
          <w:szCs w:val="18"/>
        </w:rPr>
      </w:pPr>
      <w:r w:rsidRPr="001D695C">
        <w:rPr>
          <w:rFonts w:ascii="Titillium" w:eastAsia="SimSun" w:hAnsi="Titillium"/>
          <w:sz w:val="18"/>
          <w:szCs w:val="18"/>
        </w:rPr>
        <w:t>attivare la procedura di soccorso istruttorio di cui al precedente punto</w:t>
      </w:r>
      <w:r>
        <w:rPr>
          <w:rFonts w:ascii="Titillium" w:eastAsia="SimSun" w:hAnsi="Titillium"/>
          <w:sz w:val="18"/>
          <w:szCs w:val="18"/>
        </w:rPr>
        <w:t xml:space="preserve"> 14</w:t>
      </w:r>
      <w:r w:rsidRPr="001D695C">
        <w:rPr>
          <w:rFonts w:ascii="Titillium" w:eastAsia="SimSun" w:hAnsi="Titillium"/>
          <w:sz w:val="18"/>
          <w:szCs w:val="18"/>
        </w:rPr>
        <w:t>, se necessario</w:t>
      </w:r>
      <w:r>
        <w:rPr>
          <w:rFonts w:ascii="Titillium" w:eastAsia="SimSun" w:hAnsi="Titillium"/>
          <w:sz w:val="18"/>
          <w:szCs w:val="18"/>
        </w:rPr>
        <w:t>.</w:t>
      </w:r>
    </w:p>
    <w:p w14:paraId="685C82C3" w14:textId="77777777" w:rsidR="007D1AA9" w:rsidRDefault="007D1AA9" w:rsidP="007D1AA9">
      <w:pPr>
        <w:tabs>
          <w:tab w:val="left" w:pos="851"/>
        </w:tabs>
        <w:spacing w:before="60"/>
        <w:rPr>
          <w:rFonts w:ascii="Titillium" w:eastAsia="SimSun" w:hAnsi="Titillium"/>
          <w:sz w:val="18"/>
          <w:szCs w:val="18"/>
        </w:rPr>
      </w:pPr>
      <w:r w:rsidRPr="00F20F65">
        <w:rPr>
          <w:rFonts w:ascii="Titillium" w:eastAsia="SimSun" w:hAnsi="Titillium"/>
          <w:sz w:val="18"/>
          <w:szCs w:val="18"/>
        </w:rPr>
        <w:t>In caso di inutile decorso del termine di regolarizzazione indicato dalla stazione appaltante, o in caso di mancanza di uno dei requisiti di partecipazione, il concorrente sarà escluso dalla gara; si procederà quindi a verificare la documentazione amministrativa del concorrente primo classificato nella graduatoria risultante dal ricalcolo del punteggio economico e del punteggio tecnico.</w:t>
      </w:r>
    </w:p>
    <w:p w14:paraId="40116375" w14:textId="77777777" w:rsidR="007D1AA9" w:rsidRPr="00F20F65" w:rsidRDefault="007D1AA9" w:rsidP="007D1AA9">
      <w:pPr>
        <w:tabs>
          <w:tab w:val="left" w:pos="851"/>
        </w:tabs>
        <w:spacing w:before="60"/>
        <w:rPr>
          <w:rFonts w:ascii="Titillium" w:eastAsia="SimSun" w:hAnsi="Titillium"/>
          <w:sz w:val="18"/>
          <w:szCs w:val="18"/>
          <w:lang w:bidi="it-IT"/>
        </w:rPr>
      </w:pPr>
      <w:r w:rsidRPr="00F20F65">
        <w:rPr>
          <w:rFonts w:ascii="Titillium" w:eastAsia="SimSun" w:hAnsi="Titillium"/>
          <w:sz w:val="18"/>
          <w:szCs w:val="18"/>
          <w:lang w:bidi="it-IT"/>
        </w:rPr>
        <w:t>L’esito positivo della verifica dei requisiti di ordine generale e di ordine speciale in capo all’aggiudicatario comporterà l'adozione del provvedimento di aggiudicazione.</w:t>
      </w:r>
    </w:p>
    <w:p w14:paraId="76215991" w14:textId="77777777" w:rsidR="007D1AA9" w:rsidRPr="00F20F65" w:rsidRDefault="007D1AA9" w:rsidP="007D1AA9">
      <w:pPr>
        <w:tabs>
          <w:tab w:val="left" w:pos="851"/>
        </w:tabs>
        <w:spacing w:before="60"/>
        <w:rPr>
          <w:rFonts w:ascii="Titillium" w:eastAsia="SimSun" w:hAnsi="Titillium"/>
          <w:sz w:val="18"/>
          <w:szCs w:val="18"/>
          <w:lang w:bidi="it-IT"/>
        </w:rPr>
      </w:pPr>
      <w:r w:rsidRPr="00855407">
        <w:rPr>
          <w:rFonts w:ascii="Titillium" w:eastAsia="SimSun" w:hAnsi="Titillium"/>
          <w:sz w:val="18"/>
          <w:szCs w:val="18"/>
          <w:lang w:bidi="it-IT"/>
        </w:rPr>
        <w:t>La conclusione delle fasi di ammissione, regolarizzazione o esclusione delle offerte, successivamente alle quali la graduatoria si consolida (o cristallizza), viene considerata coincidente con l'adozione della determinazione di aggiudicazione, sia essa o meno efficace, che verrà adottata dal RUP del</w:t>
      </w:r>
      <w:r>
        <w:rPr>
          <w:rFonts w:ascii="Titillium" w:eastAsia="SimSun" w:hAnsi="Titillium"/>
          <w:sz w:val="18"/>
          <w:szCs w:val="18"/>
          <w:lang w:bidi="it-IT"/>
        </w:rPr>
        <w:t>la SUA della Provincia di Piacenza</w:t>
      </w:r>
      <w:r w:rsidRPr="00855407">
        <w:rPr>
          <w:rFonts w:ascii="Titillium" w:eastAsia="SimSun" w:hAnsi="Titillium"/>
          <w:sz w:val="18"/>
          <w:szCs w:val="18"/>
          <w:lang w:bidi="it-IT"/>
        </w:rPr>
        <w:t>.  La</w:t>
      </w:r>
      <w:r w:rsidRPr="00F20F65">
        <w:rPr>
          <w:rFonts w:ascii="Titillium" w:eastAsia="SimSun" w:hAnsi="Titillium"/>
          <w:sz w:val="18"/>
          <w:szCs w:val="18"/>
          <w:lang w:bidi="it-IT"/>
        </w:rPr>
        <w:t xml:space="preserve"> seduta di gara può essere sospesa ed aggiornata ad altra ora o giorno successivo non festivo, salvo che nella fase di apertura delle buste delle offerte economiche.</w:t>
      </w:r>
    </w:p>
    <w:p w14:paraId="7875F640" w14:textId="77777777" w:rsidR="007D1AA9" w:rsidRPr="00F20F65" w:rsidRDefault="007D1AA9" w:rsidP="007D1AA9">
      <w:pPr>
        <w:tabs>
          <w:tab w:val="left" w:pos="851"/>
        </w:tabs>
        <w:spacing w:before="60"/>
        <w:rPr>
          <w:rFonts w:ascii="Titillium" w:eastAsia="SimSun" w:hAnsi="Titillium"/>
          <w:sz w:val="18"/>
          <w:szCs w:val="18"/>
          <w:lang w:bidi="it-IT"/>
        </w:rPr>
      </w:pPr>
      <w:r w:rsidRPr="00F20F65">
        <w:rPr>
          <w:rFonts w:ascii="Titillium" w:eastAsia="SimSun" w:hAnsi="Titillium"/>
          <w:sz w:val="18"/>
          <w:szCs w:val="18"/>
          <w:lang w:bidi="it-IT"/>
        </w:rPr>
        <w:t>LA SEDUTA PUBBLICA VIRTUALE SARÀ ACCESSIBILE DA PARTE DEGLI OPERATORI ECONOMICI CONCORRENTI ESCLUSIVAMENTE DA COLLEGAMENTO INFORMATICO DA REMOTO; NON SARANNO AMMESSI A PRESENZIARE FISICAMENTE ALLA SEDUTA PERSONE CHE SI PRESENTINO NEGLI UFFICI DELLA STAZIONE APPALTANTE.</w:t>
      </w:r>
    </w:p>
    <w:p w14:paraId="6074E8B6" w14:textId="77777777" w:rsidR="007D1AA9" w:rsidRPr="00F20F65" w:rsidRDefault="007D1AA9" w:rsidP="007D1AA9">
      <w:pPr>
        <w:tabs>
          <w:tab w:val="left" w:pos="851"/>
        </w:tabs>
        <w:spacing w:before="60"/>
        <w:rPr>
          <w:rFonts w:ascii="Titillium" w:eastAsia="SimSun" w:hAnsi="Titillium"/>
          <w:sz w:val="18"/>
          <w:szCs w:val="18"/>
          <w:lang w:bidi="it-IT"/>
        </w:rPr>
      </w:pPr>
      <w:r w:rsidRPr="00F20F65">
        <w:rPr>
          <w:rFonts w:ascii="Titillium" w:eastAsia="SimSun" w:hAnsi="Titillium"/>
          <w:sz w:val="18"/>
          <w:szCs w:val="18"/>
          <w:lang w:bidi="it-IT"/>
        </w:rPr>
        <w:t>Si procederà all’aggiudicazione anche in presenza di una sola offerta valida, sempre che sia ritenuta congrua e conveniente. In caso di offerte vincenti uguali si procederà all’individuazione dell’aggiudicatario con sorteggio.</w:t>
      </w:r>
    </w:p>
    <w:p w14:paraId="00108AE1" w14:textId="77777777" w:rsidR="007D1AA9" w:rsidRDefault="007D1AA9" w:rsidP="007D1AA9">
      <w:pPr>
        <w:tabs>
          <w:tab w:val="left" w:pos="851"/>
        </w:tabs>
        <w:spacing w:before="60"/>
        <w:rPr>
          <w:rFonts w:ascii="Titillium" w:eastAsia="SimSun" w:hAnsi="Titillium"/>
          <w:sz w:val="18"/>
          <w:szCs w:val="18"/>
          <w:lang w:bidi="it-IT"/>
        </w:rPr>
      </w:pPr>
      <w:r w:rsidRPr="00610868">
        <w:rPr>
          <w:rFonts w:ascii="Titillium" w:eastAsia="SimSun" w:hAnsi="Titillium"/>
          <w:sz w:val="18"/>
          <w:szCs w:val="18"/>
          <w:lang w:bidi="it-IT"/>
        </w:rPr>
        <w:t>Nell’ipotesi in cui non possa essere aggiudicato neppure a favore del concorrente collocato al secondo posto nella graduatoria, l’appalto verrà aggiudicato, nei termini sopra detti, scorrendo la graduatoria.</w:t>
      </w:r>
    </w:p>
    <w:p w14:paraId="15AC776A" w14:textId="77777777" w:rsidR="007D1AA9" w:rsidRPr="001D695C" w:rsidRDefault="007D1AA9" w:rsidP="007D1AA9">
      <w:pPr>
        <w:tabs>
          <w:tab w:val="left" w:pos="851"/>
        </w:tabs>
        <w:spacing w:before="60"/>
        <w:rPr>
          <w:rFonts w:ascii="Titillium" w:eastAsia="SimSun" w:hAnsi="Titillium"/>
          <w:sz w:val="18"/>
          <w:szCs w:val="18"/>
          <w:lang w:bidi="it-IT"/>
        </w:rPr>
      </w:pPr>
      <w:r w:rsidRPr="001D695C">
        <w:rPr>
          <w:rFonts w:ascii="Titillium" w:eastAsia="SimSun" w:hAnsi="Titillium"/>
          <w:sz w:val="18"/>
          <w:szCs w:val="18"/>
          <w:lang w:bidi="it-IT"/>
        </w:rPr>
        <w:t>Gli eventuali provvedimenti di esclusione dalla procedura di gara sono comunicati entro cinque giorni dalla loro adozione.</w:t>
      </w:r>
    </w:p>
    <w:p w14:paraId="65253E06" w14:textId="146DCE4A" w:rsidR="001D695C" w:rsidRPr="001D695C" w:rsidRDefault="007D1AA9" w:rsidP="007D1AA9">
      <w:pPr>
        <w:tabs>
          <w:tab w:val="left" w:pos="851"/>
        </w:tabs>
        <w:spacing w:before="60" w:after="60"/>
        <w:rPr>
          <w:rFonts w:ascii="Titillium" w:eastAsia="SimSun" w:hAnsi="Titillium"/>
          <w:sz w:val="18"/>
          <w:szCs w:val="18"/>
          <w:lang w:bidi="it-IT"/>
        </w:rPr>
      </w:pPr>
      <w:r w:rsidRPr="001D695C">
        <w:rPr>
          <w:rFonts w:ascii="Titillium" w:eastAsia="SimSun" w:hAnsi="Titillium"/>
          <w:sz w:val="18"/>
          <w:szCs w:val="18"/>
          <w:lang w:bidi="it-IT"/>
        </w:rPr>
        <w:t>È fatta salva la possibilità di chiedere agli offerenti, in qualsiasi momento nel corso della procedura, di presentare tutti i documenti complementari o parte di essi, qualora questo sia necessario per assicurare il corretto svolgimento della procedura</w:t>
      </w:r>
      <w:r w:rsidR="001D695C" w:rsidRPr="001D695C">
        <w:rPr>
          <w:rFonts w:ascii="Titillium" w:eastAsia="SimSun" w:hAnsi="Titillium"/>
          <w:sz w:val="18"/>
          <w:szCs w:val="18"/>
          <w:lang w:bidi="it-IT"/>
        </w:rPr>
        <w:t>.</w:t>
      </w:r>
    </w:p>
    <w:p w14:paraId="6931414E" w14:textId="06E8BFC5" w:rsidR="004C53A8" w:rsidRDefault="00F20F65" w:rsidP="00473A92">
      <w:pPr>
        <w:pStyle w:val="Titolo2"/>
        <w:numPr>
          <w:ilvl w:val="0"/>
          <w:numId w:val="3"/>
        </w:numPr>
        <w:ind w:left="357" w:hanging="357"/>
      </w:pPr>
      <w:bookmarkStart w:id="2000" w:name="_Toc484688358"/>
      <w:bookmarkStart w:id="2001" w:name="_Toc484605489"/>
      <w:bookmarkStart w:id="2002" w:name="_Toc484605365"/>
      <w:bookmarkStart w:id="2003" w:name="_Toc484526645"/>
      <w:bookmarkStart w:id="2004" w:name="_Toc484449150"/>
      <w:bookmarkStart w:id="2005" w:name="_Toc484449026"/>
      <w:bookmarkStart w:id="2006" w:name="_Toc484448902"/>
      <w:bookmarkStart w:id="2007" w:name="_Toc484448779"/>
      <w:bookmarkStart w:id="2008" w:name="_Toc484448655"/>
      <w:bookmarkStart w:id="2009" w:name="_Toc484448531"/>
      <w:bookmarkStart w:id="2010" w:name="_Toc484448407"/>
      <w:bookmarkStart w:id="2011" w:name="_Toc484448283"/>
      <w:bookmarkStart w:id="2012" w:name="_Toc484448159"/>
      <w:bookmarkStart w:id="2013" w:name="_Toc484440499"/>
      <w:bookmarkStart w:id="2014" w:name="_Toc484440139"/>
      <w:bookmarkStart w:id="2015" w:name="_Toc484440015"/>
      <w:bookmarkStart w:id="2016" w:name="_Toc484439892"/>
      <w:bookmarkStart w:id="2017" w:name="_Toc484438972"/>
      <w:bookmarkStart w:id="2018" w:name="_Toc484438848"/>
      <w:bookmarkStart w:id="2019" w:name="_Toc484438724"/>
      <w:bookmarkStart w:id="2020" w:name="_Toc484429149"/>
      <w:bookmarkStart w:id="2021" w:name="_Toc484428979"/>
      <w:bookmarkStart w:id="2022" w:name="_Toc484097805"/>
      <w:bookmarkStart w:id="2023" w:name="_Toc484011731"/>
      <w:bookmarkStart w:id="2024" w:name="_Toc484011256"/>
      <w:bookmarkStart w:id="2025" w:name="_Toc484011134"/>
      <w:bookmarkStart w:id="2026" w:name="_Toc484011012"/>
      <w:bookmarkStart w:id="2027" w:name="_Toc484010888"/>
      <w:bookmarkStart w:id="2028" w:name="_Toc484010766"/>
      <w:bookmarkStart w:id="2029" w:name="_Toc483907016"/>
      <w:bookmarkStart w:id="2030" w:name="_Toc483571638"/>
      <w:bookmarkStart w:id="2031" w:name="_Toc483571516"/>
      <w:bookmarkStart w:id="2032" w:name="_Toc483474085"/>
      <w:bookmarkStart w:id="2033" w:name="_Toc483401289"/>
      <w:bookmarkStart w:id="2034" w:name="_Toc483325811"/>
      <w:bookmarkStart w:id="2035" w:name="_Toc483316508"/>
      <w:bookmarkStart w:id="2036" w:name="_Toc483316377"/>
      <w:bookmarkStart w:id="2037" w:name="_Toc483316245"/>
      <w:bookmarkStart w:id="2038" w:name="_Toc483316040"/>
      <w:bookmarkStart w:id="2039" w:name="_Toc483302419"/>
      <w:bookmarkStart w:id="2040" w:name="_Toc483233702"/>
      <w:bookmarkStart w:id="2041" w:name="_Toc482979742"/>
      <w:bookmarkStart w:id="2042" w:name="_Toc482979644"/>
      <w:bookmarkStart w:id="2043" w:name="_Toc482979546"/>
      <w:bookmarkStart w:id="2044" w:name="_Toc482979438"/>
      <w:bookmarkStart w:id="2045" w:name="_Toc482979329"/>
      <w:bookmarkStart w:id="2046" w:name="_Toc482979220"/>
      <w:bookmarkStart w:id="2047" w:name="_Toc482979109"/>
      <w:bookmarkStart w:id="2048" w:name="_Toc482979001"/>
      <w:bookmarkStart w:id="2049" w:name="_Toc482978892"/>
      <w:bookmarkStart w:id="2050" w:name="_Toc482959773"/>
      <w:bookmarkStart w:id="2051" w:name="_Toc482959663"/>
      <w:bookmarkStart w:id="2052" w:name="_Toc482959553"/>
      <w:bookmarkStart w:id="2053" w:name="_Toc482712765"/>
      <w:bookmarkStart w:id="2054" w:name="_Toc482641319"/>
      <w:bookmarkStart w:id="2055" w:name="_Toc482633142"/>
      <w:bookmarkStart w:id="2056" w:name="_Toc482352301"/>
      <w:bookmarkStart w:id="2057" w:name="_Toc482352211"/>
      <w:bookmarkStart w:id="2058" w:name="_Toc482352121"/>
      <w:bookmarkStart w:id="2059" w:name="_Toc482352031"/>
      <w:bookmarkStart w:id="2060" w:name="_Toc482102167"/>
      <w:bookmarkStart w:id="2061" w:name="_Toc482102073"/>
      <w:bookmarkStart w:id="2062" w:name="_Toc482101978"/>
      <w:bookmarkStart w:id="2063" w:name="_Toc482101883"/>
      <w:bookmarkStart w:id="2064" w:name="_Toc482101790"/>
      <w:bookmarkStart w:id="2065" w:name="_Toc482101615"/>
      <w:bookmarkStart w:id="2066" w:name="_Toc482101500"/>
      <w:bookmarkStart w:id="2067" w:name="_Toc482101363"/>
      <w:bookmarkStart w:id="2068" w:name="_Toc482100937"/>
      <w:bookmarkStart w:id="2069" w:name="_Toc482100780"/>
      <w:bookmarkStart w:id="2070" w:name="_Toc482099063"/>
      <w:bookmarkStart w:id="2071" w:name="_Toc482097961"/>
      <w:bookmarkStart w:id="2072" w:name="_Toc482097769"/>
      <w:bookmarkStart w:id="2073" w:name="_Toc482097680"/>
      <w:bookmarkStart w:id="2074" w:name="_Toc482097591"/>
      <w:bookmarkStart w:id="2075" w:name="_Toc482025767"/>
      <w:bookmarkStart w:id="2076" w:name="_Toc485218347"/>
      <w:bookmarkStart w:id="2077" w:name="_Toc484688912"/>
      <w:bookmarkStart w:id="2078" w:name="_Toc484688357"/>
      <w:bookmarkStart w:id="2079" w:name="_Toc484605488"/>
      <w:bookmarkStart w:id="2080" w:name="_Toc484605364"/>
      <w:bookmarkStart w:id="2081" w:name="_Toc484526644"/>
      <w:bookmarkStart w:id="2082" w:name="_Toc484449149"/>
      <w:bookmarkStart w:id="2083" w:name="_Toc484449025"/>
      <w:bookmarkStart w:id="2084" w:name="_Toc484448901"/>
      <w:bookmarkStart w:id="2085" w:name="_Toc484448778"/>
      <w:bookmarkStart w:id="2086" w:name="_Toc484448654"/>
      <w:bookmarkStart w:id="2087" w:name="_Toc484448530"/>
      <w:bookmarkStart w:id="2088" w:name="_Toc484448406"/>
      <w:bookmarkStart w:id="2089" w:name="_Toc484448282"/>
      <w:bookmarkStart w:id="2090" w:name="_Toc484448158"/>
      <w:bookmarkStart w:id="2091" w:name="_Toc484440498"/>
      <w:bookmarkStart w:id="2092" w:name="_Toc484440138"/>
      <w:bookmarkStart w:id="2093" w:name="_Toc484440014"/>
      <w:bookmarkStart w:id="2094" w:name="_Toc484439891"/>
      <w:bookmarkStart w:id="2095" w:name="_Toc484438971"/>
      <w:bookmarkStart w:id="2096" w:name="_Toc484438847"/>
      <w:bookmarkStart w:id="2097" w:name="_Toc484438723"/>
      <w:bookmarkStart w:id="2098" w:name="_Toc484429148"/>
      <w:bookmarkStart w:id="2099" w:name="_Toc484428978"/>
      <w:bookmarkStart w:id="2100" w:name="_Toc484097804"/>
      <w:bookmarkStart w:id="2101" w:name="_Toc484011730"/>
      <w:bookmarkStart w:id="2102" w:name="_Toc484011255"/>
      <w:bookmarkStart w:id="2103" w:name="_Toc484011133"/>
      <w:bookmarkStart w:id="2104" w:name="_Toc484011011"/>
      <w:bookmarkStart w:id="2105" w:name="_Toc484010887"/>
      <w:bookmarkStart w:id="2106" w:name="_Toc484010765"/>
      <w:bookmarkStart w:id="2107" w:name="_Toc483907015"/>
      <w:bookmarkStart w:id="2108" w:name="_Toc483571637"/>
      <w:bookmarkStart w:id="2109" w:name="_Toc483571515"/>
      <w:bookmarkStart w:id="2110" w:name="_Toc483474084"/>
      <w:bookmarkStart w:id="2111" w:name="_Toc483401288"/>
      <w:bookmarkStart w:id="2112" w:name="_Toc483325810"/>
      <w:bookmarkStart w:id="2113" w:name="_Toc483316507"/>
      <w:bookmarkStart w:id="2114" w:name="_Toc483316376"/>
      <w:bookmarkStart w:id="2115" w:name="_Toc483316244"/>
      <w:bookmarkStart w:id="2116" w:name="_Toc483316039"/>
      <w:bookmarkStart w:id="2117" w:name="_Toc483302418"/>
      <w:bookmarkStart w:id="2118" w:name="_Toc483233701"/>
      <w:bookmarkStart w:id="2119" w:name="_Toc482979741"/>
      <w:bookmarkStart w:id="2120" w:name="_Toc482979643"/>
      <w:bookmarkStart w:id="2121" w:name="_Toc482979545"/>
      <w:bookmarkStart w:id="2122" w:name="_Toc482979437"/>
      <w:bookmarkStart w:id="2123" w:name="_Toc482979328"/>
      <w:bookmarkStart w:id="2124" w:name="_Toc482979219"/>
      <w:bookmarkStart w:id="2125" w:name="_Toc482979108"/>
      <w:bookmarkStart w:id="2126" w:name="_Toc482979000"/>
      <w:bookmarkStart w:id="2127" w:name="_Toc482978891"/>
      <w:bookmarkStart w:id="2128" w:name="_Toc482959772"/>
      <w:bookmarkStart w:id="2129" w:name="_Toc482959662"/>
      <w:bookmarkStart w:id="2130" w:name="_Toc482959552"/>
      <w:bookmarkStart w:id="2131" w:name="_Toc482712764"/>
      <w:bookmarkStart w:id="2132" w:name="_Toc482641318"/>
      <w:bookmarkStart w:id="2133" w:name="_Toc482633141"/>
      <w:bookmarkStart w:id="2134" w:name="_Toc482352300"/>
      <w:bookmarkStart w:id="2135" w:name="_Toc482352210"/>
      <w:bookmarkStart w:id="2136" w:name="_Toc482352120"/>
      <w:bookmarkStart w:id="2137" w:name="_Toc482352030"/>
      <w:bookmarkStart w:id="2138" w:name="_Toc482102166"/>
      <w:bookmarkStart w:id="2139" w:name="_Toc482102072"/>
      <w:bookmarkStart w:id="2140" w:name="_Toc482101977"/>
      <w:bookmarkStart w:id="2141" w:name="_Toc482101882"/>
      <w:bookmarkStart w:id="2142" w:name="_Toc482101789"/>
      <w:bookmarkStart w:id="2143" w:name="_Toc482101614"/>
      <w:bookmarkStart w:id="2144" w:name="_Toc482101499"/>
      <w:bookmarkStart w:id="2145" w:name="_Toc482101362"/>
      <w:bookmarkStart w:id="2146" w:name="_Toc482100936"/>
      <w:bookmarkStart w:id="2147" w:name="_Toc482100779"/>
      <w:bookmarkStart w:id="2148" w:name="_Toc482099062"/>
      <w:bookmarkStart w:id="2149" w:name="_Toc482097960"/>
      <w:bookmarkStart w:id="2150" w:name="_Toc482097768"/>
      <w:bookmarkStart w:id="2151" w:name="_Toc482097679"/>
      <w:bookmarkStart w:id="2152" w:name="_Toc482097590"/>
      <w:bookmarkStart w:id="2153" w:name="_Toc482025766"/>
      <w:bookmarkStart w:id="2154" w:name="_Toc485218346"/>
      <w:bookmarkStart w:id="2155" w:name="_Toc484688911"/>
      <w:bookmarkStart w:id="2156" w:name="_Toc484688356"/>
      <w:bookmarkStart w:id="2157" w:name="_Toc484605487"/>
      <w:bookmarkStart w:id="2158" w:name="_Toc484605363"/>
      <w:bookmarkStart w:id="2159" w:name="_Toc484526643"/>
      <w:bookmarkStart w:id="2160" w:name="_Toc484449148"/>
      <w:bookmarkStart w:id="2161" w:name="_Toc484449024"/>
      <w:bookmarkStart w:id="2162" w:name="_Toc484448900"/>
      <w:bookmarkStart w:id="2163" w:name="_Toc484448777"/>
      <w:bookmarkStart w:id="2164" w:name="_Toc484448653"/>
      <w:bookmarkStart w:id="2165" w:name="_Toc484448529"/>
      <w:bookmarkStart w:id="2166" w:name="_Toc484448405"/>
      <w:bookmarkStart w:id="2167" w:name="_Toc484448281"/>
      <w:bookmarkStart w:id="2168" w:name="_Toc484448157"/>
      <w:bookmarkStart w:id="2169" w:name="_Toc484440497"/>
      <w:bookmarkStart w:id="2170" w:name="_Toc484440137"/>
      <w:bookmarkStart w:id="2171" w:name="_Toc484440013"/>
      <w:bookmarkStart w:id="2172" w:name="_Toc484439890"/>
      <w:bookmarkStart w:id="2173" w:name="_Toc484438970"/>
      <w:bookmarkStart w:id="2174" w:name="_Toc484438846"/>
      <w:bookmarkStart w:id="2175" w:name="_Toc484438722"/>
      <w:bookmarkStart w:id="2176" w:name="_Toc484429147"/>
      <w:bookmarkStart w:id="2177" w:name="_Toc484428977"/>
      <w:bookmarkStart w:id="2178" w:name="_Toc484097803"/>
      <w:bookmarkStart w:id="2179" w:name="_Toc484011729"/>
      <w:bookmarkStart w:id="2180" w:name="_Toc484011254"/>
      <w:bookmarkStart w:id="2181" w:name="_Toc484011132"/>
      <w:bookmarkStart w:id="2182" w:name="_Toc484011010"/>
      <w:bookmarkStart w:id="2183" w:name="_Toc484010886"/>
      <w:bookmarkStart w:id="2184" w:name="_Toc484010764"/>
      <w:bookmarkStart w:id="2185" w:name="_Toc483907014"/>
      <w:bookmarkStart w:id="2186" w:name="_Toc483571636"/>
      <w:bookmarkStart w:id="2187" w:name="_Toc483571514"/>
      <w:bookmarkStart w:id="2188" w:name="_Toc483474083"/>
      <w:bookmarkStart w:id="2189" w:name="_Toc483401287"/>
      <w:bookmarkStart w:id="2190" w:name="_Toc483325809"/>
      <w:bookmarkStart w:id="2191" w:name="_Toc483316506"/>
      <w:bookmarkStart w:id="2192" w:name="_Toc483316375"/>
      <w:bookmarkStart w:id="2193" w:name="_Toc483316243"/>
      <w:bookmarkStart w:id="2194" w:name="_Toc483316038"/>
      <w:bookmarkStart w:id="2195" w:name="_Toc483302417"/>
      <w:bookmarkStart w:id="2196" w:name="_Toc483233700"/>
      <w:bookmarkStart w:id="2197" w:name="_Toc482979740"/>
      <w:bookmarkStart w:id="2198" w:name="_Toc482979642"/>
      <w:bookmarkStart w:id="2199" w:name="_Toc482979544"/>
      <w:bookmarkStart w:id="2200" w:name="_Toc482979436"/>
      <w:bookmarkStart w:id="2201" w:name="_Toc482979327"/>
      <w:bookmarkStart w:id="2202" w:name="_Toc482979218"/>
      <w:bookmarkStart w:id="2203" w:name="_Toc482979107"/>
      <w:bookmarkStart w:id="2204" w:name="_Toc482978999"/>
      <w:bookmarkStart w:id="2205" w:name="_Toc482978890"/>
      <w:bookmarkStart w:id="2206" w:name="_Toc482959771"/>
      <w:bookmarkStart w:id="2207" w:name="_Toc482959661"/>
      <w:bookmarkStart w:id="2208" w:name="_Toc482959551"/>
      <w:bookmarkStart w:id="2209" w:name="_Toc482712763"/>
      <w:bookmarkStart w:id="2210" w:name="_Toc482641317"/>
      <w:bookmarkStart w:id="2211" w:name="_Toc482633140"/>
      <w:bookmarkStart w:id="2212" w:name="_Toc482352299"/>
      <w:bookmarkStart w:id="2213" w:name="_Toc482352209"/>
      <w:bookmarkStart w:id="2214" w:name="_Toc482352119"/>
      <w:bookmarkStart w:id="2215" w:name="_Toc482352029"/>
      <w:bookmarkStart w:id="2216" w:name="_Toc482102165"/>
      <w:bookmarkStart w:id="2217" w:name="_Toc482102071"/>
      <w:bookmarkStart w:id="2218" w:name="_Toc482101976"/>
      <w:bookmarkStart w:id="2219" w:name="_Toc482101881"/>
      <w:bookmarkStart w:id="2220" w:name="_Toc482101788"/>
      <w:bookmarkStart w:id="2221" w:name="_Toc482101613"/>
      <w:bookmarkStart w:id="2222" w:name="_Toc482101498"/>
      <w:bookmarkStart w:id="2223" w:name="_Toc482101361"/>
      <w:bookmarkStart w:id="2224" w:name="_Toc482100935"/>
      <w:bookmarkStart w:id="2225" w:name="_Toc482100778"/>
      <w:bookmarkStart w:id="2226" w:name="_Toc482099061"/>
      <w:bookmarkStart w:id="2227" w:name="_Toc482097959"/>
      <w:bookmarkStart w:id="2228" w:name="_Toc482097767"/>
      <w:bookmarkStart w:id="2229" w:name="_Toc482097678"/>
      <w:bookmarkStart w:id="2230" w:name="_Toc482097589"/>
      <w:bookmarkStart w:id="2231" w:name="_Toc482025765"/>
      <w:bookmarkStart w:id="2232" w:name="_Toc485218345"/>
      <w:bookmarkStart w:id="2233" w:name="_Toc484688910"/>
      <w:bookmarkStart w:id="2234" w:name="_Toc484688355"/>
      <w:bookmarkStart w:id="2235" w:name="_Toc484605486"/>
      <w:bookmarkStart w:id="2236" w:name="_Toc484605362"/>
      <w:bookmarkStart w:id="2237" w:name="_Toc484526642"/>
      <w:bookmarkStart w:id="2238" w:name="_Toc484449147"/>
      <w:bookmarkStart w:id="2239" w:name="_Toc484449023"/>
      <w:bookmarkStart w:id="2240" w:name="_Toc484448899"/>
      <w:bookmarkStart w:id="2241" w:name="_Toc484448776"/>
      <w:bookmarkStart w:id="2242" w:name="_Toc484448652"/>
      <w:bookmarkStart w:id="2243" w:name="_Toc484448528"/>
      <w:bookmarkStart w:id="2244" w:name="_Toc484448404"/>
      <w:bookmarkStart w:id="2245" w:name="_Toc484448280"/>
      <w:bookmarkStart w:id="2246" w:name="_Toc484448156"/>
      <w:bookmarkStart w:id="2247" w:name="_Toc484440496"/>
      <w:bookmarkStart w:id="2248" w:name="_Toc484440136"/>
      <w:bookmarkStart w:id="2249" w:name="_Toc484440012"/>
      <w:bookmarkStart w:id="2250" w:name="_Toc484439889"/>
      <w:bookmarkStart w:id="2251" w:name="_Toc484438969"/>
      <w:bookmarkStart w:id="2252" w:name="_Toc484438845"/>
      <w:bookmarkStart w:id="2253" w:name="_Toc484438721"/>
      <w:bookmarkStart w:id="2254" w:name="_Toc484429146"/>
      <w:bookmarkStart w:id="2255" w:name="_Toc484428976"/>
      <w:bookmarkStart w:id="2256" w:name="_Toc484097802"/>
      <w:bookmarkStart w:id="2257" w:name="_Toc484011728"/>
      <w:bookmarkStart w:id="2258" w:name="_Toc484011253"/>
      <w:bookmarkStart w:id="2259" w:name="_Toc484011131"/>
      <w:bookmarkStart w:id="2260" w:name="_Toc484011009"/>
      <w:bookmarkStart w:id="2261" w:name="_Toc484010885"/>
      <w:bookmarkStart w:id="2262" w:name="_Toc484010763"/>
      <w:bookmarkStart w:id="2263" w:name="_Toc483907013"/>
      <w:bookmarkStart w:id="2264" w:name="_Toc483571635"/>
      <w:bookmarkStart w:id="2265" w:name="_Toc483571513"/>
      <w:bookmarkStart w:id="2266" w:name="_Toc483474082"/>
      <w:bookmarkStart w:id="2267" w:name="_Toc483401286"/>
      <w:bookmarkStart w:id="2268" w:name="_Toc483325808"/>
      <w:bookmarkStart w:id="2269" w:name="_Toc483316505"/>
      <w:bookmarkStart w:id="2270" w:name="_Toc483316374"/>
      <w:bookmarkStart w:id="2271" w:name="_Toc483316242"/>
      <w:bookmarkStart w:id="2272" w:name="_Toc483316037"/>
      <w:bookmarkStart w:id="2273" w:name="_Toc483302416"/>
      <w:bookmarkStart w:id="2274" w:name="_Toc483233699"/>
      <w:bookmarkStart w:id="2275" w:name="_Toc482979739"/>
      <w:bookmarkStart w:id="2276" w:name="_Toc482979641"/>
      <w:bookmarkStart w:id="2277" w:name="_Toc482979543"/>
      <w:bookmarkStart w:id="2278" w:name="_Toc482979435"/>
      <w:bookmarkStart w:id="2279" w:name="_Toc482979326"/>
      <w:bookmarkStart w:id="2280" w:name="_Toc482979217"/>
      <w:bookmarkStart w:id="2281" w:name="_Toc482979106"/>
      <w:bookmarkStart w:id="2282" w:name="_Toc482978998"/>
      <w:bookmarkStart w:id="2283" w:name="_Toc482978889"/>
      <w:bookmarkStart w:id="2284" w:name="_Toc482959770"/>
      <w:bookmarkStart w:id="2285" w:name="_Toc482959660"/>
      <w:bookmarkStart w:id="2286" w:name="_Toc482959550"/>
      <w:bookmarkStart w:id="2287" w:name="_Toc482712762"/>
      <w:bookmarkStart w:id="2288" w:name="_Toc482641316"/>
      <w:bookmarkStart w:id="2289" w:name="_Toc482633139"/>
      <w:bookmarkStart w:id="2290" w:name="_Toc482352298"/>
      <w:bookmarkStart w:id="2291" w:name="_Toc482352208"/>
      <w:bookmarkStart w:id="2292" w:name="_Toc482352118"/>
      <w:bookmarkStart w:id="2293" w:name="_Toc482352028"/>
      <w:bookmarkStart w:id="2294" w:name="_Toc482102164"/>
      <w:bookmarkStart w:id="2295" w:name="_Toc482102070"/>
      <w:bookmarkStart w:id="2296" w:name="_Toc482101975"/>
      <w:bookmarkStart w:id="2297" w:name="_Toc482101880"/>
      <w:bookmarkStart w:id="2298" w:name="_Toc482101787"/>
      <w:bookmarkStart w:id="2299" w:name="_Toc482101612"/>
      <w:bookmarkStart w:id="2300" w:name="_Toc482101497"/>
      <w:bookmarkStart w:id="2301" w:name="_Toc482101360"/>
      <w:bookmarkStart w:id="2302" w:name="_Toc482100934"/>
      <w:bookmarkStart w:id="2303" w:name="_Toc482100777"/>
      <w:bookmarkStart w:id="2304" w:name="_Toc482099060"/>
      <w:bookmarkStart w:id="2305" w:name="_Toc482097958"/>
      <w:bookmarkStart w:id="2306" w:name="_Toc482097766"/>
      <w:bookmarkStart w:id="2307" w:name="_Toc482097677"/>
      <w:bookmarkStart w:id="2308" w:name="_Toc482097588"/>
      <w:bookmarkStart w:id="2309" w:name="_Toc482025764"/>
      <w:bookmarkStart w:id="2310" w:name="_Toc485218344"/>
      <w:bookmarkStart w:id="2311" w:name="_Toc484688909"/>
      <w:bookmarkStart w:id="2312" w:name="_Toc484688354"/>
      <w:bookmarkStart w:id="2313" w:name="_Toc484605485"/>
      <w:bookmarkStart w:id="2314" w:name="_Toc484605361"/>
      <w:bookmarkStart w:id="2315" w:name="_Toc484526641"/>
      <w:bookmarkStart w:id="2316" w:name="_Toc484449146"/>
      <w:bookmarkStart w:id="2317" w:name="_Toc484449022"/>
      <w:bookmarkStart w:id="2318" w:name="_Toc484448898"/>
      <w:bookmarkStart w:id="2319" w:name="_Toc484448775"/>
      <w:bookmarkStart w:id="2320" w:name="_Toc484448651"/>
      <w:bookmarkStart w:id="2321" w:name="_Toc484448527"/>
      <w:bookmarkStart w:id="2322" w:name="_Toc484448403"/>
      <w:bookmarkStart w:id="2323" w:name="_Toc484448279"/>
      <w:bookmarkStart w:id="2324" w:name="_Toc484448155"/>
      <w:bookmarkStart w:id="2325" w:name="_Toc484440495"/>
      <w:bookmarkStart w:id="2326" w:name="_Toc484440135"/>
      <w:bookmarkStart w:id="2327" w:name="_Toc484440011"/>
      <w:bookmarkStart w:id="2328" w:name="_Toc484439888"/>
      <w:bookmarkStart w:id="2329" w:name="_Toc484438968"/>
      <w:bookmarkStart w:id="2330" w:name="_Toc484438844"/>
      <w:bookmarkStart w:id="2331" w:name="_Toc484438720"/>
      <w:bookmarkStart w:id="2332" w:name="_Toc484429145"/>
      <w:bookmarkStart w:id="2333" w:name="_Toc484428975"/>
      <w:bookmarkStart w:id="2334" w:name="_Toc484097801"/>
      <w:bookmarkStart w:id="2335" w:name="_Toc484011727"/>
      <w:bookmarkStart w:id="2336" w:name="_Toc484011252"/>
      <w:bookmarkStart w:id="2337" w:name="_Toc484011130"/>
      <w:bookmarkStart w:id="2338" w:name="_Toc484011008"/>
      <w:bookmarkStart w:id="2339" w:name="_Toc484010884"/>
      <w:bookmarkStart w:id="2340" w:name="_Toc484010762"/>
      <w:bookmarkStart w:id="2341" w:name="_Toc483907012"/>
      <w:bookmarkStart w:id="2342" w:name="_Toc483571634"/>
      <w:bookmarkStart w:id="2343" w:name="_Toc483571512"/>
      <w:bookmarkStart w:id="2344" w:name="_Toc483474081"/>
      <w:bookmarkStart w:id="2345" w:name="_Toc483401285"/>
      <w:bookmarkStart w:id="2346" w:name="_Toc483325807"/>
      <w:bookmarkStart w:id="2347" w:name="_Toc483316504"/>
      <w:bookmarkStart w:id="2348" w:name="_Toc483316373"/>
      <w:bookmarkStart w:id="2349" w:name="_Toc483316241"/>
      <w:bookmarkStart w:id="2350" w:name="_Toc483316036"/>
      <w:bookmarkStart w:id="2351" w:name="_Toc483302415"/>
      <w:bookmarkStart w:id="2352" w:name="_Toc483233698"/>
      <w:bookmarkStart w:id="2353" w:name="_Toc482979738"/>
      <w:bookmarkStart w:id="2354" w:name="_Toc482979640"/>
      <w:bookmarkStart w:id="2355" w:name="_Toc482979542"/>
      <w:bookmarkStart w:id="2356" w:name="_Toc482979434"/>
      <w:bookmarkStart w:id="2357" w:name="_Toc482979325"/>
      <w:bookmarkStart w:id="2358" w:name="_Toc482979216"/>
      <w:bookmarkStart w:id="2359" w:name="_Toc482979105"/>
      <w:bookmarkStart w:id="2360" w:name="_Toc482978997"/>
      <w:bookmarkStart w:id="2361" w:name="_Toc482978888"/>
      <w:bookmarkStart w:id="2362" w:name="_Toc482959769"/>
      <w:bookmarkStart w:id="2363" w:name="_Toc482959659"/>
      <w:bookmarkStart w:id="2364" w:name="_Toc482959549"/>
      <w:bookmarkStart w:id="2365" w:name="_Toc482712761"/>
      <w:bookmarkStart w:id="2366" w:name="_Toc482641315"/>
      <w:bookmarkStart w:id="2367" w:name="_Toc482633138"/>
      <w:bookmarkStart w:id="2368" w:name="_Toc482352297"/>
      <w:bookmarkStart w:id="2369" w:name="_Toc482352207"/>
      <w:bookmarkStart w:id="2370" w:name="_Toc482352117"/>
      <w:bookmarkStart w:id="2371" w:name="_Toc482352027"/>
      <w:bookmarkStart w:id="2372" w:name="_Toc482102163"/>
      <w:bookmarkStart w:id="2373" w:name="_Toc482102069"/>
      <w:bookmarkStart w:id="2374" w:name="_Toc482101974"/>
      <w:bookmarkStart w:id="2375" w:name="_Toc482101879"/>
      <w:bookmarkStart w:id="2376" w:name="_Toc482101786"/>
      <w:bookmarkStart w:id="2377" w:name="_Toc482101611"/>
      <w:bookmarkStart w:id="2378" w:name="_Toc482101496"/>
      <w:bookmarkStart w:id="2379" w:name="_Toc482101359"/>
      <w:bookmarkStart w:id="2380" w:name="_Toc482100933"/>
      <w:bookmarkStart w:id="2381" w:name="_Toc482100776"/>
      <w:bookmarkStart w:id="2382" w:name="_Toc482099059"/>
      <w:bookmarkStart w:id="2383" w:name="_Toc482097957"/>
      <w:bookmarkStart w:id="2384" w:name="_Toc482097765"/>
      <w:bookmarkStart w:id="2385" w:name="_Toc482097676"/>
      <w:bookmarkStart w:id="2386" w:name="_Toc482097587"/>
      <w:bookmarkStart w:id="2387" w:name="_Toc482025763"/>
      <w:bookmarkStart w:id="2388" w:name="_Toc485218343"/>
      <w:bookmarkStart w:id="2389" w:name="_Toc484688908"/>
      <w:bookmarkStart w:id="2390" w:name="_Toc484688353"/>
      <w:bookmarkStart w:id="2391" w:name="_Toc484605484"/>
      <w:bookmarkStart w:id="2392" w:name="_Toc484605360"/>
      <w:bookmarkStart w:id="2393" w:name="_Toc484526640"/>
      <w:bookmarkStart w:id="2394" w:name="_Toc484449145"/>
      <w:bookmarkStart w:id="2395" w:name="_Toc484449021"/>
      <w:bookmarkStart w:id="2396" w:name="_Toc484448897"/>
      <w:bookmarkStart w:id="2397" w:name="_Toc484448774"/>
      <w:bookmarkStart w:id="2398" w:name="_Toc484448650"/>
      <w:bookmarkStart w:id="2399" w:name="_Toc484448526"/>
      <w:bookmarkStart w:id="2400" w:name="_Toc484448402"/>
      <w:bookmarkStart w:id="2401" w:name="_Toc484448278"/>
      <w:bookmarkStart w:id="2402" w:name="_Toc484448154"/>
      <w:bookmarkStart w:id="2403" w:name="_Toc484440494"/>
      <w:bookmarkStart w:id="2404" w:name="_Toc484440134"/>
      <w:bookmarkStart w:id="2405" w:name="_Toc484440010"/>
      <w:bookmarkStart w:id="2406" w:name="_Toc484439887"/>
      <w:bookmarkStart w:id="2407" w:name="_Toc484438967"/>
      <w:bookmarkStart w:id="2408" w:name="_Toc484438843"/>
      <w:bookmarkStart w:id="2409" w:name="_Toc484438719"/>
      <w:bookmarkStart w:id="2410" w:name="_Toc484429144"/>
      <w:bookmarkStart w:id="2411" w:name="_Toc484428974"/>
      <w:bookmarkStart w:id="2412" w:name="_Toc484097800"/>
      <w:bookmarkStart w:id="2413" w:name="_Toc484011726"/>
      <w:bookmarkStart w:id="2414" w:name="_Toc484011251"/>
      <w:bookmarkStart w:id="2415" w:name="_Toc484011129"/>
      <w:bookmarkStart w:id="2416" w:name="_Toc484011007"/>
      <w:bookmarkStart w:id="2417" w:name="_Toc484010883"/>
      <w:bookmarkStart w:id="2418" w:name="_Toc484010761"/>
      <w:bookmarkStart w:id="2419" w:name="_Toc483907011"/>
      <w:bookmarkStart w:id="2420" w:name="_Toc483571633"/>
      <w:bookmarkStart w:id="2421" w:name="_Toc483571511"/>
      <w:bookmarkStart w:id="2422" w:name="_Toc483474080"/>
      <w:bookmarkStart w:id="2423" w:name="_Toc483401284"/>
      <w:bookmarkStart w:id="2424" w:name="_Toc483325806"/>
      <w:bookmarkStart w:id="2425" w:name="_Toc483316503"/>
      <w:bookmarkStart w:id="2426" w:name="_Toc483316372"/>
      <w:bookmarkStart w:id="2427" w:name="_Toc483316240"/>
      <w:bookmarkStart w:id="2428" w:name="_Toc483316035"/>
      <w:bookmarkStart w:id="2429" w:name="_Toc483302414"/>
      <w:bookmarkStart w:id="2430" w:name="_Toc483233697"/>
      <w:bookmarkStart w:id="2431" w:name="_Toc482979737"/>
      <w:bookmarkStart w:id="2432" w:name="_Toc482979639"/>
      <w:bookmarkStart w:id="2433" w:name="_Toc482979541"/>
      <w:bookmarkStart w:id="2434" w:name="_Toc482979433"/>
      <w:bookmarkStart w:id="2435" w:name="_Toc482979324"/>
      <w:bookmarkStart w:id="2436" w:name="_Toc482979215"/>
      <w:bookmarkStart w:id="2437" w:name="_Toc482979104"/>
      <w:bookmarkStart w:id="2438" w:name="_Toc482978996"/>
      <w:bookmarkStart w:id="2439" w:name="_Toc482978887"/>
      <w:bookmarkStart w:id="2440" w:name="_Toc482959768"/>
      <w:bookmarkStart w:id="2441" w:name="_Toc482959658"/>
      <w:bookmarkStart w:id="2442" w:name="_Toc482959548"/>
      <w:bookmarkStart w:id="2443" w:name="_Toc482712760"/>
      <w:bookmarkStart w:id="2444" w:name="_Toc482641314"/>
      <w:bookmarkStart w:id="2445" w:name="_Toc482633137"/>
      <w:bookmarkStart w:id="2446" w:name="_Toc482352296"/>
      <w:bookmarkStart w:id="2447" w:name="_Toc482352206"/>
      <w:bookmarkStart w:id="2448" w:name="_Toc482352116"/>
      <w:bookmarkStart w:id="2449" w:name="_Toc482352026"/>
      <w:bookmarkStart w:id="2450" w:name="_Toc482102162"/>
      <w:bookmarkStart w:id="2451" w:name="_Toc482102068"/>
      <w:bookmarkStart w:id="2452" w:name="_Toc482101973"/>
      <w:bookmarkStart w:id="2453" w:name="_Toc482101878"/>
      <w:bookmarkStart w:id="2454" w:name="_Toc482101785"/>
      <w:bookmarkStart w:id="2455" w:name="_Toc482101610"/>
      <w:bookmarkStart w:id="2456" w:name="_Toc482101495"/>
      <w:bookmarkStart w:id="2457" w:name="_Toc482101358"/>
      <w:bookmarkStart w:id="2458" w:name="_Toc482100932"/>
      <w:bookmarkStart w:id="2459" w:name="_Toc482100775"/>
      <w:bookmarkStart w:id="2460" w:name="_Toc482099058"/>
      <w:bookmarkStart w:id="2461" w:name="_Toc482097956"/>
      <w:bookmarkStart w:id="2462" w:name="_Toc482097764"/>
      <w:bookmarkStart w:id="2463" w:name="_Toc482097675"/>
      <w:bookmarkStart w:id="2464" w:name="_Toc482097586"/>
      <w:bookmarkStart w:id="2465" w:name="_Toc482025762"/>
      <w:bookmarkStart w:id="2466" w:name="_Toc485218342"/>
      <w:bookmarkStart w:id="2467" w:name="_Toc484688907"/>
      <w:bookmarkStart w:id="2468" w:name="_Toc484688352"/>
      <w:bookmarkStart w:id="2469" w:name="_Toc484605483"/>
      <w:bookmarkStart w:id="2470" w:name="_Toc484605359"/>
      <w:bookmarkStart w:id="2471" w:name="_Toc484526639"/>
      <w:bookmarkStart w:id="2472" w:name="_Toc484449144"/>
      <w:bookmarkStart w:id="2473" w:name="_Toc484449020"/>
      <w:bookmarkStart w:id="2474" w:name="_Toc484448896"/>
      <w:bookmarkStart w:id="2475" w:name="_Toc484448773"/>
      <w:bookmarkStart w:id="2476" w:name="_Toc484448649"/>
      <w:bookmarkStart w:id="2477" w:name="_Toc484448525"/>
      <w:bookmarkStart w:id="2478" w:name="_Toc484448401"/>
      <w:bookmarkStart w:id="2479" w:name="_Toc484448277"/>
      <w:bookmarkStart w:id="2480" w:name="_Toc484448153"/>
      <w:bookmarkStart w:id="2481" w:name="_Toc484440493"/>
      <w:bookmarkStart w:id="2482" w:name="_Toc484440133"/>
      <w:bookmarkStart w:id="2483" w:name="_Toc484440009"/>
      <w:bookmarkStart w:id="2484" w:name="_Toc484439886"/>
      <w:bookmarkStart w:id="2485" w:name="_Toc484438966"/>
      <w:bookmarkStart w:id="2486" w:name="_Toc484438842"/>
      <w:bookmarkStart w:id="2487" w:name="_Toc484438718"/>
      <w:bookmarkStart w:id="2488" w:name="_Toc484429143"/>
      <w:bookmarkStart w:id="2489" w:name="_Toc484428973"/>
      <w:bookmarkStart w:id="2490" w:name="_Toc484097799"/>
      <w:bookmarkStart w:id="2491" w:name="_Toc484011725"/>
      <w:bookmarkStart w:id="2492" w:name="_Toc484011250"/>
      <w:bookmarkStart w:id="2493" w:name="_Toc484011128"/>
      <w:bookmarkStart w:id="2494" w:name="_Toc484011006"/>
      <w:bookmarkStart w:id="2495" w:name="_Toc484010882"/>
      <w:bookmarkStart w:id="2496" w:name="_Toc484010760"/>
      <w:bookmarkStart w:id="2497" w:name="_Toc483907010"/>
      <w:bookmarkStart w:id="2498" w:name="_Toc483571632"/>
      <w:bookmarkStart w:id="2499" w:name="_Toc483571510"/>
      <w:bookmarkStart w:id="2500" w:name="_Toc483474079"/>
      <w:bookmarkStart w:id="2501" w:name="_Toc483401283"/>
      <w:bookmarkStart w:id="2502" w:name="_Toc483325805"/>
      <w:bookmarkStart w:id="2503" w:name="_Toc483316502"/>
      <w:bookmarkStart w:id="2504" w:name="_Toc483316371"/>
      <w:bookmarkStart w:id="2505" w:name="_Toc483316239"/>
      <w:bookmarkStart w:id="2506" w:name="_Toc483316034"/>
      <w:bookmarkStart w:id="2507" w:name="_Toc483302413"/>
      <w:bookmarkStart w:id="2508" w:name="_Toc483233696"/>
      <w:bookmarkStart w:id="2509" w:name="_Toc482979736"/>
      <w:bookmarkStart w:id="2510" w:name="_Toc482979638"/>
      <w:bookmarkStart w:id="2511" w:name="_Toc482979540"/>
      <w:bookmarkStart w:id="2512" w:name="_Toc482979432"/>
      <w:bookmarkStart w:id="2513" w:name="_Toc482979323"/>
      <w:bookmarkStart w:id="2514" w:name="_Toc482979214"/>
      <w:bookmarkStart w:id="2515" w:name="_Toc482979103"/>
      <w:bookmarkStart w:id="2516" w:name="_Toc482978995"/>
      <w:bookmarkStart w:id="2517" w:name="_Toc482978886"/>
      <w:bookmarkStart w:id="2518" w:name="_Toc482959767"/>
      <w:bookmarkStart w:id="2519" w:name="_Toc482959657"/>
      <w:bookmarkStart w:id="2520" w:name="_Toc482959547"/>
      <w:bookmarkStart w:id="2521" w:name="_Toc482712759"/>
      <w:bookmarkStart w:id="2522" w:name="_Toc482641313"/>
      <w:bookmarkStart w:id="2523" w:name="_Toc482633136"/>
      <w:bookmarkStart w:id="2524" w:name="_Toc482352295"/>
      <w:bookmarkStart w:id="2525" w:name="_Toc482352205"/>
      <w:bookmarkStart w:id="2526" w:name="_Toc482352115"/>
      <w:bookmarkStart w:id="2527" w:name="_Toc482352025"/>
      <w:bookmarkStart w:id="2528" w:name="_Toc482102161"/>
      <w:bookmarkStart w:id="2529" w:name="_Toc482102067"/>
      <w:bookmarkStart w:id="2530" w:name="_Toc482101972"/>
      <w:bookmarkStart w:id="2531" w:name="_Toc482101877"/>
      <w:bookmarkStart w:id="2532" w:name="_Toc482101784"/>
      <w:bookmarkStart w:id="2533" w:name="_Toc482101609"/>
      <w:bookmarkStart w:id="2534" w:name="_Toc482101494"/>
      <w:bookmarkStart w:id="2535" w:name="_Toc482101357"/>
      <w:bookmarkStart w:id="2536" w:name="_Toc482100931"/>
      <w:bookmarkStart w:id="2537" w:name="_Toc482100774"/>
      <w:bookmarkStart w:id="2538" w:name="_Toc482099057"/>
      <w:bookmarkStart w:id="2539" w:name="_Toc482097955"/>
      <w:bookmarkStart w:id="2540" w:name="_Toc482097763"/>
      <w:bookmarkStart w:id="2541" w:name="_Toc482097674"/>
      <w:bookmarkStart w:id="2542" w:name="_Toc482097585"/>
      <w:bookmarkStart w:id="2543" w:name="_Toc482025761"/>
      <w:bookmarkStart w:id="2544" w:name="_Toc485218341"/>
      <w:bookmarkStart w:id="2545" w:name="_Toc484688906"/>
      <w:bookmarkStart w:id="2546" w:name="_Toc484688351"/>
      <w:bookmarkStart w:id="2547" w:name="_Toc484605482"/>
      <w:bookmarkStart w:id="2548" w:name="_Toc484605358"/>
      <w:bookmarkStart w:id="2549" w:name="_Toc484526638"/>
      <w:bookmarkStart w:id="2550" w:name="_Toc484449143"/>
      <w:bookmarkStart w:id="2551" w:name="_Toc484449019"/>
      <w:bookmarkStart w:id="2552" w:name="_Toc484448895"/>
      <w:bookmarkStart w:id="2553" w:name="_Toc484448772"/>
      <w:bookmarkStart w:id="2554" w:name="_Toc484448648"/>
      <w:bookmarkStart w:id="2555" w:name="_Toc484448524"/>
      <w:bookmarkStart w:id="2556" w:name="_Toc484448400"/>
      <w:bookmarkStart w:id="2557" w:name="_Toc484448276"/>
      <w:bookmarkStart w:id="2558" w:name="_Toc484448152"/>
      <w:bookmarkStart w:id="2559" w:name="_Toc484440492"/>
      <w:bookmarkStart w:id="2560" w:name="_Toc484440132"/>
      <w:bookmarkStart w:id="2561" w:name="_Toc484440008"/>
      <w:bookmarkStart w:id="2562" w:name="_Toc484439885"/>
      <w:bookmarkStart w:id="2563" w:name="_Toc484438965"/>
      <w:bookmarkStart w:id="2564" w:name="_Toc484438841"/>
      <w:bookmarkStart w:id="2565" w:name="_Toc484438717"/>
      <w:bookmarkStart w:id="2566" w:name="_Toc484429142"/>
      <w:bookmarkStart w:id="2567" w:name="_Toc484428972"/>
      <w:bookmarkStart w:id="2568" w:name="_Toc484097798"/>
      <w:bookmarkStart w:id="2569" w:name="_Toc484011724"/>
      <w:bookmarkStart w:id="2570" w:name="_Toc484011249"/>
      <w:bookmarkStart w:id="2571" w:name="_Toc484011127"/>
      <w:bookmarkStart w:id="2572" w:name="_Toc484011005"/>
      <w:bookmarkStart w:id="2573" w:name="_Toc484010881"/>
      <w:bookmarkStart w:id="2574" w:name="_Toc484010759"/>
      <w:bookmarkStart w:id="2575" w:name="_Toc483907009"/>
      <w:bookmarkStart w:id="2576" w:name="_Toc483571631"/>
      <w:bookmarkStart w:id="2577" w:name="_Toc483571509"/>
      <w:bookmarkStart w:id="2578" w:name="_Toc483474078"/>
      <w:bookmarkStart w:id="2579" w:name="_Toc483401282"/>
      <w:bookmarkStart w:id="2580" w:name="_Toc483325804"/>
      <w:bookmarkStart w:id="2581" w:name="_Toc483316501"/>
      <w:bookmarkStart w:id="2582" w:name="_Toc483316370"/>
      <w:bookmarkStart w:id="2583" w:name="_Toc483316238"/>
      <w:bookmarkStart w:id="2584" w:name="_Toc483316033"/>
      <w:bookmarkStart w:id="2585" w:name="_Toc483302412"/>
      <w:bookmarkStart w:id="2586" w:name="_Toc483233695"/>
      <w:bookmarkStart w:id="2587" w:name="_Toc482979735"/>
      <w:bookmarkStart w:id="2588" w:name="_Toc482979637"/>
      <w:bookmarkStart w:id="2589" w:name="_Toc482979539"/>
      <w:bookmarkStart w:id="2590" w:name="_Toc482979431"/>
      <w:bookmarkStart w:id="2591" w:name="_Toc482979322"/>
      <w:bookmarkStart w:id="2592" w:name="_Toc482979213"/>
      <w:bookmarkStart w:id="2593" w:name="_Toc482979102"/>
      <w:bookmarkStart w:id="2594" w:name="_Toc482978994"/>
      <w:bookmarkStart w:id="2595" w:name="_Toc482978885"/>
      <w:bookmarkStart w:id="2596" w:name="_Toc482959766"/>
      <w:bookmarkStart w:id="2597" w:name="_Toc482959656"/>
      <w:bookmarkStart w:id="2598" w:name="_Toc482959546"/>
      <w:bookmarkStart w:id="2599" w:name="_Toc482712758"/>
      <w:bookmarkStart w:id="2600" w:name="_Toc482641312"/>
      <w:bookmarkStart w:id="2601" w:name="_Toc482633135"/>
      <w:bookmarkStart w:id="2602" w:name="_Toc482352294"/>
      <w:bookmarkStart w:id="2603" w:name="_Toc482352204"/>
      <w:bookmarkStart w:id="2604" w:name="_Toc482352114"/>
      <w:bookmarkStart w:id="2605" w:name="_Toc482352024"/>
      <w:bookmarkStart w:id="2606" w:name="_Toc482102160"/>
      <w:bookmarkStart w:id="2607" w:name="_Toc482102066"/>
      <w:bookmarkStart w:id="2608" w:name="_Toc482101971"/>
      <w:bookmarkStart w:id="2609" w:name="_Toc482101876"/>
      <w:bookmarkStart w:id="2610" w:name="_Toc482101783"/>
      <w:bookmarkStart w:id="2611" w:name="_Toc482101608"/>
      <w:bookmarkStart w:id="2612" w:name="_Toc482101493"/>
      <w:bookmarkStart w:id="2613" w:name="_Toc482101356"/>
      <w:bookmarkStart w:id="2614" w:name="_Toc482100930"/>
      <w:bookmarkStart w:id="2615" w:name="_Toc482100773"/>
      <w:bookmarkStart w:id="2616" w:name="_Toc482099056"/>
      <w:bookmarkStart w:id="2617" w:name="_Toc482097954"/>
      <w:bookmarkStart w:id="2618" w:name="_Toc482097762"/>
      <w:bookmarkStart w:id="2619" w:name="_Toc482097673"/>
      <w:bookmarkStart w:id="2620" w:name="_Toc482097584"/>
      <w:bookmarkStart w:id="2621" w:name="_Toc482025760"/>
      <w:bookmarkStart w:id="2622" w:name="_Toc485218340"/>
      <w:bookmarkStart w:id="2623" w:name="_Toc484688905"/>
      <w:bookmarkStart w:id="2624" w:name="_Toc484688350"/>
      <w:bookmarkStart w:id="2625" w:name="_Toc484605481"/>
      <w:bookmarkStart w:id="2626" w:name="_Toc484605357"/>
      <w:bookmarkStart w:id="2627" w:name="_Toc484526637"/>
      <w:bookmarkStart w:id="2628" w:name="_Toc484449142"/>
      <w:bookmarkStart w:id="2629" w:name="_Toc484449018"/>
      <w:bookmarkStart w:id="2630" w:name="_Toc484448894"/>
      <w:bookmarkStart w:id="2631" w:name="_Toc484448771"/>
      <w:bookmarkStart w:id="2632" w:name="_Toc484448647"/>
      <w:bookmarkStart w:id="2633" w:name="_Toc484448523"/>
      <w:bookmarkStart w:id="2634" w:name="_Toc484448399"/>
      <w:bookmarkStart w:id="2635" w:name="_Toc484448275"/>
      <w:bookmarkStart w:id="2636" w:name="_Toc484448151"/>
      <w:bookmarkStart w:id="2637" w:name="_Toc484440491"/>
      <w:bookmarkStart w:id="2638" w:name="_Toc484440131"/>
      <w:bookmarkStart w:id="2639" w:name="_Toc484440007"/>
      <w:bookmarkStart w:id="2640" w:name="_Toc484439884"/>
      <w:bookmarkStart w:id="2641" w:name="_Toc484438964"/>
      <w:bookmarkStart w:id="2642" w:name="_Toc484438840"/>
      <w:bookmarkStart w:id="2643" w:name="_Toc484438716"/>
      <w:bookmarkStart w:id="2644" w:name="_Toc484429141"/>
      <w:bookmarkStart w:id="2645" w:name="_Toc484428971"/>
      <w:bookmarkStart w:id="2646" w:name="_Toc484097797"/>
      <w:bookmarkStart w:id="2647" w:name="_Toc484011723"/>
      <w:bookmarkStart w:id="2648" w:name="_Toc484011248"/>
      <w:bookmarkStart w:id="2649" w:name="_Toc484011126"/>
      <w:bookmarkStart w:id="2650" w:name="_Toc484011004"/>
      <w:bookmarkStart w:id="2651" w:name="_Toc484010880"/>
      <w:bookmarkStart w:id="2652" w:name="_Toc484010758"/>
      <w:bookmarkStart w:id="2653" w:name="_Toc483907008"/>
      <w:bookmarkStart w:id="2654" w:name="_Toc483571630"/>
      <w:bookmarkStart w:id="2655" w:name="_Toc483571508"/>
      <w:bookmarkStart w:id="2656" w:name="_Toc483474077"/>
      <w:bookmarkStart w:id="2657" w:name="_Toc483401281"/>
      <w:bookmarkStart w:id="2658" w:name="_Toc483325803"/>
      <w:bookmarkStart w:id="2659" w:name="_Toc483316500"/>
      <w:bookmarkStart w:id="2660" w:name="_Toc483316369"/>
      <w:bookmarkStart w:id="2661" w:name="_Toc483316237"/>
      <w:bookmarkStart w:id="2662" w:name="_Toc483316032"/>
      <w:bookmarkStart w:id="2663" w:name="_Toc483302411"/>
      <w:bookmarkStart w:id="2664" w:name="_Toc483233694"/>
      <w:bookmarkStart w:id="2665" w:name="_Toc482979734"/>
      <w:bookmarkStart w:id="2666" w:name="_Toc482979636"/>
      <w:bookmarkStart w:id="2667" w:name="_Toc482979538"/>
      <w:bookmarkStart w:id="2668" w:name="_Toc482979430"/>
      <w:bookmarkStart w:id="2669" w:name="_Toc482979321"/>
      <w:bookmarkStart w:id="2670" w:name="_Toc482979212"/>
      <w:bookmarkStart w:id="2671" w:name="_Toc482979101"/>
      <w:bookmarkStart w:id="2672" w:name="_Toc482978993"/>
      <w:bookmarkStart w:id="2673" w:name="_Toc482978884"/>
      <w:bookmarkStart w:id="2674" w:name="_Toc482959765"/>
      <w:bookmarkStart w:id="2675" w:name="_Toc482959655"/>
      <w:bookmarkStart w:id="2676" w:name="_Toc482959545"/>
      <w:bookmarkStart w:id="2677" w:name="_Toc482712757"/>
      <w:bookmarkStart w:id="2678" w:name="_Toc482641311"/>
      <w:bookmarkStart w:id="2679" w:name="_Toc482633134"/>
      <w:bookmarkStart w:id="2680" w:name="_Toc482352293"/>
      <w:bookmarkStart w:id="2681" w:name="_Toc482352203"/>
      <w:bookmarkStart w:id="2682" w:name="_Toc482352113"/>
      <w:bookmarkStart w:id="2683" w:name="_Toc482352023"/>
      <w:bookmarkStart w:id="2684" w:name="_Toc482102159"/>
      <w:bookmarkStart w:id="2685" w:name="_Toc482102065"/>
      <w:bookmarkStart w:id="2686" w:name="_Toc482101970"/>
      <w:bookmarkStart w:id="2687" w:name="_Toc482101875"/>
      <w:bookmarkStart w:id="2688" w:name="_Toc482101782"/>
      <w:bookmarkStart w:id="2689" w:name="_Toc482101607"/>
      <w:bookmarkStart w:id="2690" w:name="_Toc482101492"/>
      <w:bookmarkStart w:id="2691" w:name="_Toc482101355"/>
      <w:bookmarkStart w:id="2692" w:name="_Toc482100929"/>
      <w:bookmarkStart w:id="2693" w:name="_Toc482100772"/>
      <w:bookmarkStart w:id="2694" w:name="_Toc482099055"/>
      <w:bookmarkStart w:id="2695" w:name="_Toc482097953"/>
      <w:bookmarkStart w:id="2696" w:name="_Toc482097761"/>
      <w:bookmarkStart w:id="2697" w:name="_Toc482097672"/>
      <w:bookmarkStart w:id="2698" w:name="_Toc482097583"/>
      <w:bookmarkStart w:id="2699" w:name="_Toc482025759"/>
      <w:bookmarkStart w:id="2700" w:name="_Toc485218339"/>
      <w:bookmarkStart w:id="2701" w:name="_Toc484688904"/>
      <w:bookmarkStart w:id="2702" w:name="_Toc484688349"/>
      <w:bookmarkStart w:id="2703" w:name="_Toc484605480"/>
      <w:bookmarkStart w:id="2704" w:name="_Toc484605356"/>
      <w:bookmarkStart w:id="2705" w:name="_Toc484526636"/>
      <w:bookmarkStart w:id="2706" w:name="_Toc484449141"/>
      <w:bookmarkStart w:id="2707" w:name="_Toc484449017"/>
      <w:bookmarkStart w:id="2708" w:name="_Toc484448893"/>
      <w:bookmarkStart w:id="2709" w:name="_Toc484448770"/>
      <w:bookmarkStart w:id="2710" w:name="_Toc484448646"/>
      <w:bookmarkStart w:id="2711" w:name="_Toc484448522"/>
      <w:bookmarkStart w:id="2712" w:name="_Toc484448398"/>
      <w:bookmarkStart w:id="2713" w:name="_Toc484448274"/>
      <w:bookmarkStart w:id="2714" w:name="_Toc484448150"/>
      <w:bookmarkStart w:id="2715" w:name="_Toc484440490"/>
      <w:bookmarkStart w:id="2716" w:name="_Toc484440130"/>
      <w:bookmarkStart w:id="2717" w:name="_Toc484440006"/>
      <w:bookmarkStart w:id="2718" w:name="_Toc484439883"/>
      <w:bookmarkStart w:id="2719" w:name="_Toc484438963"/>
      <w:bookmarkStart w:id="2720" w:name="_Toc484438839"/>
      <w:bookmarkStart w:id="2721" w:name="_Toc484438715"/>
      <w:bookmarkStart w:id="2722" w:name="_Toc484429140"/>
      <w:bookmarkStart w:id="2723" w:name="_Toc484428970"/>
      <w:bookmarkStart w:id="2724" w:name="_Toc484097796"/>
      <w:bookmarkStart w:id="2725" w:name="_Toc484011722"/>
      <w:bookmarkStart w:id="2726" w:name="_Toc484011247"/>
      <w:bookmarkStart w:id="2727" w:name="_Toc484011125"/>
      <w:bookmarkStart w:id="2728" w:name="_Toc484011003"/>
      <w:bookmarkStart w:id="2729" w:name="_Toc484010879"/>
      <w:bookmarkStart w:id="2730" w:name="_Toc484010757"/>
      <w:bookmarkStart w:id="2731" w:name="_Toc483907007"/>
      <w:bookmarkStart w:id="2732" w:name="_Toc483571629"/>
      <w:bookmarkStart w:id="2733" w:name="_Toc483571507"/>
      <w:bookmarkStart w:id="2734" w:name="_Toc483474076"/>
      <w:bookmarkStart w:id="2735" w:name="_Toc483401280"/>
      <w:bookmarkStart w:id="2736" w:name="_Toc483325802"/>
      <w:bookmarkStart w:id="2737" w:name="_Toc483316499"/>
      <w:bookmarkStart w:id="2738" w:name="_Toc483316368"/>
      <w:bookmarkStart w:id="2739" w:name="_Toc483316236"/>
      <w:bookmarkStart w:id="2740" w:name="_Toc483316031"/>
      <w:bookmarkStart w:id="2741" w:name="_Toc483302410"/>
      <w:bookmarkStart w:id="2742" w:name="_Toc483233693"/>
      <w:bookmarkStart w:id="2743" w:name="_Toc482979733"/>
      <w:bookmarkStart w:id="2744" w:name="_Toc482979635"/>
      <w:bookmarkStart w:id="2745" w:name="_Toc482979537"/>
      <w:bookmarkStart w:id="2746" w:name="_Toc482979429"/>
      <w:bookmarkStart w:id="2747" w:name="_Toc482979320"/>
      <w:bookmarkStart w:id="2748" w:name="_Toc482979211"/>
      <w:bookmarkStart w:id="2749" w:name="_Toc482979100"/>
      <w:bookmarkStart w:id="2750" w:name="_Toc482978992"/>
      <w:bookmarkStart w:id="2751" w:name="_Toc482978883"/>
      <w:bookmarkStart w:id="2752" w:name="_Toc482959764"/>
      <w:bookmarkStart w:id="2753" w:name="_Toc482959654"/>
      <w:bookmarkStart w:id="2754" w:name="_Toc482959544"/>
      <w:bookmarkStart w:id="2755" w:name="_Toc482712756"/>
      <w:bookmarkStart w:id="2756" w:name="_Toc482641310"/>
      <w:bookmarkStart w:id="2757" w:name="_Toc482633133"/>
      <w:bookmarkStart w:id="2758" w:name="_Toc482352292"/>
      <w:bookmarkStart w:id="2759" w:name="_Toc482352202"/>
      <w:bookmarkStart w:id="2760" w:name="_Toc482352112"/>
      <w:bookmarkStart w:id="2761" w:name="_Toc482352022"/>
      <w:bookmarkStart w:id="2762" w:name="_Toc482102158"/>
      <w:bookmarkStart w:id="2763" w:name="_Toc482102064"/>
      <w:bookmarkStart w:id="2764" w:name="_Toc482101969"/>
      <w:bookmarkStart w:id="2765" w:name="_Toc482101874"/>
      <w:bookmarkStart w:id="2766" w:name="_Toc482101781"/>
      <w:bookmarkStart w:id="2767" w:name="_Toc482101606"/>
      <w:bookmarkStart w:id="2768" w:name="_Toc482101491"/>
      <w:bookmarkStart w:id="2769" w:name="_Toc482101354"/>
      <w:bookmarkStart w:id="2770" w:name="_Toc482100928"/>
      <w:bookmarkStart w:id="2771" w:name="_Toc482100771"/>
      <w:bookmarkStart w:id="2772" w:name="_Toc482099054"/>
      <w:bookmarkStart w:id="2773" w:name="_Toc482097952"/>
      <w:bookmarkStart w:id="2774" w:name="_Toc482097760"/>
      <w:bookmarkStart w:id="2775" w:name="_Toc482097671"/>
      <w:bookmarkStart w:id="2776" w:name="_Toc482097582"/>
      <w:bookmarkStart w:id="2777" w:name="_Toc482025758"/>
      <w:bookmarkStart w:id="2778" w:name="_Toc485218338"/>
      <w:bookmarkStart w:id="2779" w:name="_Toc484688903"/>
      <w:bookmarkStart w:id="2780" w:name="_Toc484688348"/>
      <w:bookmarkStart w:id="2781" w:name="_Toc484605479"/>
      <w:bookmarkStart w:id="2782" w:name="_Toc484605355"/>
      <w:bookmarkStart w:id="2783" w:name="_Toc484526635"/>
      <w:bookmarkStart w:id="2784" w:name="_Toc484449140"/>
      <w:bookmarkStart w:id="2785" w:name="_Toc484449016"/>
      <w:bookmarkStart w:id="2786" w:name="_Toc484448892"/>
      <w:bookmarkStart w:id="2787" w:name="_Toc484448769"/>
      <w:bookmarkStart w:id="2788" w:name="_Toc484448645"/>
      <w:bookmarkStart w:id="2789" w:name="_Toc484448521"/>
      <w:bookmarkStart w:id="2790" w:name="_Toc484448397"/>
      <w:bookmarkStart w:id="2791" w:name="_Toc484448273"/>
      <w:bookmarkStart w:id="2792" w:name="_Toc484448149"/>
      <w:bookmarkStart w:id="2793" w:name="_Toc484440489"/>
      <w:bookmarkStart w:id="2794" w:name="_Toc484440129"/>
      <w:bookmarkStart w:id="2795" w:name="_Toc484440005"/>
      <w:bookmarkStart w:id="2796" w:name="_Toc484439882"/>
      <w:bookmarkStart w:id="2797" w:name="_Toc484438962"/>
      <w:bookmarkStart w:id="2798" w:name="_Toc484438838"/>
      <w:bookmarkStart w:id="2799" w:name="_Toc484438714"/>
      <w:bookmarkStart w:id="2800" w:name="_Toc484429139"/>
      <w:bookmarkStart w:id="2801" w:name="_Toc484428969"/>
      <w:bookmarkStart w:id="2802" w:name="_Toc484097795"/>
      <w:bookmarkStart w:id="2803" w:name="_Toc484011721"/>
      <w:bookmarkStart w:id="2804" w:name="_Toc484011246"/>
      <w:bookmarkStart w:id="2805" w:name="_Toc484011124"/>
      <w:bookmarkStart w:id="2806" w:name="_Toc484011002"/>
      <w:bookmarkStart w:id="2807" w:name="_Toc484010878"/>
      <w:bookmarkStart w:id="2808" w:name="_Toc484010756"/>
      <w:bookmarkStart w:id="2809" w:name="_Toc483907006"/>
      <w:bookmarkStart w:id="2810" w:name="_Toc483571628"/>
      <w:bookmarkStart w:id="2811" w:name="_Toc483571506"/>
      <w:bookmarkStart w:id="2812" w:name="_Toc483474075"/>
      <w:bookmarkStart w:id="2813" w:name="_Toc483401279"/>
      <w:bookmarkStart w:id="2814" w:name="_Toc483325801"/>
      <w:bookmarkStart w:id="2815" w:name="_Toc483316498"/>
      <w:bookmarkStart w:id="2816" w:name="_Toc483316367"/>
      <w:bookmarkStart w:id="2817" w:name="_Toc483316235"/>
      <w:bookmarkStart w:id="2818" w:name="_Toc483316030"/>
      <w:bookmarkStart w:id="2819" w:name="_Toc483302409"/>
      <w:bookmarkStart w:id="2820" w:name="_Toc483233692"/>
      <w:bookmarkStart w:id="2821" w:name="_Toc482979732"/>
      <w:bookmarkStart w:id="2822" w:name="_Toc482979634"/>
      <w:bookmarkStart w:id="2823" w:name="_Toc482979536"/>
      <w:bookmarkStart w:id="2824" w:name="_Toc482979428"/>
      <w:bookmarkStart w:id="2825" w:name="_Toc482979319"/>
      <w:bookmarkStart w:id="2826" w:name="_Toc482979210"/>
      <w:bookmarkStart w:id="2827" w:name="_Toc482979099"/>
      <w:bookmarkStart w:id="2828" w:name="_Toc482978991"/>
      <w:bookmarkStart w:id="2829" w:name="_Toc482978882"/>
      <w:bookmarkStart w:id="2830" w:name="_Toc482959763"/>
      <w:bookmarkStart w:id="2831" w:name="_Toc482959653"/>
      <w:bookmarkStart w:id="2832" w:name="_Toc482959543"/>
      <w:bookmarkStart w:id="2833" w:name="_Toc482712755"/>
      <w:bookmarkStart w:id="2834" w:name="_Toc482641309"/>
      <w:bookmarkStart w:id="2835" w:name="_Toc482633132"/>
      <w:bookmarkStart w:id="2836" w:name="_Toc482352291"/>
      <w:bookmarkStart w:id="2837" w:name="_Toc482352201"/>
      <w:bookmarkStart w:id="2838" w:name="_Toc482352111"/>
      <w:bookmarkStart w:id="2839" w:name="_Toc482352021"/>
      <w:bookmarkStart w:id="2840" w:name="_Toc482102157"/>
      <w:bookmarkStart w:id="2841" w:name="_Toc482102063"/>
      <w:bookmarkStart w:id="2842" w:name="_Toc482101968"/>
      <w:bookmarkStart w:id="2843" w:name="_Toc482101873"/>
      <w:bookmarkStart w:id="2844" w:name="_Toc482101780"/>
      <w:bookmarkStart w:id="2845" w:name="_Toc482101605"/>
      <w:bookmarkStart w:id="2846" w:name="_Toc482101490"/>
      <w:bookmarkStart w:id="2847" w:name="_Toc482101353"/>
      <w:bookmarkStart w:id="2848" w:name="_Toc482100927"/>
      <w:bookmarkStart w:id="2849" w:name="_Toc482100770"/>
      <w:bookmarkStart w:id="2850" w:name="_Toc482099053"/>
      <w:bookmarkStart w:id="2851" w:name="_Toc482097951"/>
      <w:bookmarkStart w:id="2852" w:name="_Toc482097759"/>
      <w:bookmarkStart w:id="2853" w:name="_Toc482097670"/>
      <w:bookmarkStart w:id="2854" w:name="_Toc482097581"/>
      <w:bookmarkStart w:id="2855" w:name="_Toc482025757"/>
      <w:bookmarkStart w:id="2856" w:name="_Toc485218337"/>
      <w:bookmarkStart w:id="2857" w:name="_Toc484688902"/>
      <w:bookmarkStart w:id="2858" w:name="_Toc484688347"/>
      <w:bookmarkStart w:id="2859" w:name="_Toc484605478"/>
      <w:bookmarkStart w:id="2860" w:name="_Toc484605354"/>
      <w:bookmarkStart w:id="2861" w:name="_Toc484526634"/>
      <w:bookmarkStart w:id="2862" w:name="_Toc484449139"/>
      <w:bookmarkStart w:id="2863" w:name="_Toc484449015"/>
      <w:bookmarkStart w:id="2864" w:name="_Toc484448891"/>
      <w:bookmarkStart w:id="2865" w:name="_Toc484448768"/>
      <w:bookmarkStart w:id="2866" w:name="_Toc484448644"/>
      <w:bookmarkStart w:id="2867" w:name="_Toc484448520"/>
      <w:bookmarkStart w:id="2868" w:name="_Toc484448396"/>
      <w:bookmarkStart w:id="2869" w:name="_Toc484448272"/>
      <w:bookmarkStart w:id="2870" w:name="_Toc484448148"/>
      <w:bookmarkStart w:id="2871" w:name="_Toc484440488"/>
      <w:bookmarkStart w:id="2872" w:name="_Toc484440128"/>
      <w:bookmarkStart w:id="2873" w:name="_Toc484440004"/>
      <w:bookmarkStart w:id="2874" w:name="_Toc484439881"/>
      <w:bookmarkStart w:id="2875" w:name="_Toc484438961"/>
      <w:bookmarkStart w:id="2876" w:name="_Toc484438837"/>
      <w:bookmarkStart w:id="2877" w:name="_Toc484438713"/>
      <w:bookmarkStart w:id="2878" w:name="_Toc484429138"/>
      <w:bookmarkStart w:id="2879" w:name="_Toc484428968"/>
      <w:bookmarkStart w:id="2880" w:name="_Toc484097794"/>
      <w:bookmarkStart w:id="2881" w:name="_Toc484011720"/>
      <w:bookmarkStart w:id="2882" w:name="_Toc484011245"/>
      <w:bookmarkStart w:id="2883" w:name="_Toc484011123"/>
      <w:bookmarkStart w:id="2884" w:name="_Toc484011001"/>
      <w:bookmarkStart w:id="2885" w:name="_Toc484010877"/>
      <w:bookmarkStart w:id="2886" w:name="_Toc484010755"/>
      <w:bookmarkStart w:id="2887" w:name="_Toc483907005"/>
      <w:bookmarkStart w:id="2888" w:name="_Toc483571627"/>
      <w:bookmarkStart w:id="2889" w:name="_Toc483571505"/>
      <w:bookmarkStart w:id="2890" w:name="_Toc483474074"/>
      <w:bookmarkStart w:id="2891" w:name="_Toc483401278"/>
      <w:bookmarkStart w:id="2892" w:name="_Toc483325800"/>
      <w:bookmarkStart w:id="2893" w:name="_Toc483316497"/>
      <w:bookmarkStart w:id="2894" w:name="_Toc483316366"/>
      <w:bookmarkStart w:id="2895" w:name="_Toc483316234"/>
      <w:bookmarkStart w:id="2896" w:name="_Toc483316029"/>
      <w:bookmarkStart w:id="2897" w:name="_Toc483302408"/>
      <w:bookmarkStart w:id="2898" w:name="_Toc483233691"/>
      <w:bookmarkStart w:id="2899" w:name="_Toc482979731"/>
      <w:bookmarkStart w:id="2900" w:name="_Toc482979633"/>
      <w:bookmarkStart w:id="2901" w:name="_Toc482979535"/>
      <w:bookmarkStart w:id="2902" w:name="_Toc482979427"/>
      <w:bookmarkStart w:id="2903" w:name="_Toc482979318"/>
      <w:bookmarkStart w:id="2904" w:name="_Toc482979209"/>
      <w:bookmarkStart w:id="2905" w:name="_Toc482979098"/>
      <w:bookmarkStart w:id="2906" w:name="_Toc482978990"/>
      <w:bookmarkStart w:id="2907" w:name="_Toc482978881"/>
      <w:bookmarkStart w:id="2908" w:name="_Toc482959762"/>
      <w:bookmarkStart w:id="2909" w:name="_Toc482959652"/>
      <w:bookmarkStart w:id="2910" w:name="_Toc482959542"/>
      <w:bookmarkStart w:id="2911" w:name="_Toc482712754"/>
      <w:bookmarkStart w:id="2912" w:name="_Toc482641308"/>
      <w:bookmarkStart w:id="2913" w:name="_Toc482633131"/>
      <w:bookmarkStart w:id="2914" w:name="_Toc482352290"/>
      <w:bookmarkStart w:id="2915" w:name="_Toc482352200"/>
      <w:bookmarkStart w:id="2916" w:name="_Toc482352110"/>
      <w:bookmarkStart w:id="2917" w:name="_Toc482352020"/>
      <w:bookmarkStart w:id="2918" w:name="_Toc482102156"/>
      <w:bookmarkStart w:id="2919" w:name="_Toc482102062"/>
      <w:bookmarkStart w:id="2920" w:name="_Toc482101967"/>
      <w:bookmarkStart w:id="2921" w:name="_Toc482101872"/>
      <w:bookmarkStart w:id="2922" w:name="_Toc482101779"/>
      <w:bookmarkStart w:id="2923" w:name="_Toc482101604"/>
      <w:bookmarkStart w:id="2924" w:name="_Toc482101489"/>
      <w:bookmarkStart w:id="2925" w:name="_Toc482101352"/>
      <w:bookmarkStart w:id="2926" w:name="_Toc482100926"/>
      <w:bookmarkStart w:id="2927" w:name="_Toc482100769"/>
      <w:bookmarkStart w:id="2928" w:name="_Toc482099052"/>
      <w:bookmarkStart w:id="2929" w:name="_Toc482097950"/>
      <w:bookmarkStart w:id="2930" w:name="_Toc482097758"/>
      <w:bookmarkStart w:id="2931" w:name="_Toc482097669"/>
      <w:bookmarkStart w:id="2932" w:name="_Toc482097580"/>
      <w:bookmarkStart w:id="2933" w:name="_Toc482025756"/>
      <w:bookmarkStart w:id="2934" w:name="_Toc485218348"/>
      <w:bookmarkStart w:id="2935" w:name="_Toc484688913"/>
      <w:bookmarkStart w:id="2936" w:name="_Ref498613645"/>
      <w:bookmarkStart w:id="2937" w:name="_Toc89270315"/>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r>
        <w:rPr>
          <w:rFonts w:ascii="Titillium" w:hAnsi="Titillium"/>
          <w:sz w:val="18"/>
          <w:szCs w:val="18"/>
          <w:lang w:val="it-IT"/>
        </w:rPr>
        <w:t>A</w:t>
      </w:r>
      <w:r w:rsidR="00870286">
        <w:rPr>
          <w:rFonts w:ascii="Titillium" w:hAnsi="Titillium"/>
          <w:sz w:val="18"/>
          <w:szCs w:val="18"/>
        </w:rPr>
        <w:t xml:space="preserve">GGIUDICAZIONE </w:t>
      </w:r>
      <w:r w:rsidR="00870286">
        <w:rPr>
          <w:rFonts w:ascii="Titillium" w:hAnsi="Titillium"/>
          <w:caps w:val="0"/>
          <w:sz w:val="18"/>
          <w:szCs w:val="18"/>
          <w:lang w:val="it-IT"/>
        </w:rPr>
        <w:t xml:space="preserve">DELL’APPALTO </w:t>
      </w:r>
      <w:r w:rsidR="00870286">
        <w:rPr>
          <w:rFonts w:ascii="Titillium" w:hAnsi="Titillium"/>
          <w:caps w:val="0"/>
          <w:sz w:val="18"/>
          <w:szCs w:val="18"/>
        </w:rPr>
        <w:t xml:space="preserve">E STIPULA </w:t>
      </w:r>
      <w:r w:rsidR="00870286">
        <w:rPr>
          <w:rFonts w:ascii="Titillium" w:hAnsi="Titillium"/>
          <w:sz w:val="18"/>
          <w:szCs w:val="18"/>
        </w:rPr>
        <w:t>DEL CONTRATTO</w:t>
      </w:r>
      <w:bookmarkStart w:id="2938" w:name="_Ref531265966"/>
      <w:bookmarkEnd w:id="2936"/>
      <w:bookmarkEnd w:id="2937"/>
      <w:bookmarkEnd w:id="2938"/>
    </w:p>
    <w:p w14:paraId="4F82C892" w14:textId="43A150F9" w:rsidR="00C62381" w:rsidRDefault="00C62381">
      <w:pPr>
        <w:spacing w:before="60" w:after="60"/>
        <w:rPr>
          <w:rFonts w:ascii="Titillium" w:hAnsi="Titillium" w:cs="Calibri"/>
          <w:sz w:val="18"/>
          <w:szCs w:val="18"/>
        </w:rPr>
      </w:pPr>
      <w:r w:rsidRPr="00C62381">
        <w:rPr>
          <w:rFonts w:ascii="Titillium" w:hAnsi="Titillium" w:cs="Calibri"/>
          <w:sz w:val="18"/>
          <w:szCs w:val="18"/>
        </w:rPr>
        <w:t>La proposta di aggiudicazione è formulata in favore del concorrente che ha presentato la migliore offerta.</w:t>
      </w:r>
    </w:p>
    <w:p w14:paraId="66ADE402" w14:textId="77777777" w:rsidR="002D3C8E" w:rsidRPr="001B69D7" w:rsidRDefault="002D3C8E" w:rsidP="002D3C8E">
      <w:pPr>
        <w:spacing w:before="60" w:after="60"/>
        <w:rPr>
          <w:rFonts w:ascii="Titillium" w:hAnsi="Titillium" w:cs="Calibri"/>
          <w:sz w:val="18"/>
          <w:szCs w:val="18"/>
        </w:rPr>
      </w:pPr>
      <w:r w:rsidRPr="001B69D7">
        <w:rPr>
          <w:rFonts w:ascii="Titillium" w:hAnsi="Titillium" w:cs="Calibri"/>
          <w:sz w:val="18"/>
          <w:szCs w:val="18"/>
        </w:rPr>
        <w:t>Il RUP procede, laddove non effettuata in sede di verifica di congruità dell’offerta, a verificare:</w:t>
      </w:r>
    </w:p>
    <w:p w14:paraId="38111C95" w14:textId="77777777" w:rsidR="002D3C8E" w:rsidRPr="001B69D7" w:rsidRDefault="002D3C8E" w:rsidP="00E2506D">
      <w:pPr>
        <w:numPr>
          <w:ilvl w:val="0"/>
          <w:numId w:val="31"/>
        </w:numPr>
        <w:spacing w:before="60" w:after="60"/>
        <w:ind w:left="426"/>
        <w:rPr>
          <w:rFonts w:ascii="Titillium" w:hAnsi="Titillium" w:cs="Calibri"/>
          <w:sz w:val="18"/>
          <w:szCs w:val="18"/>
        </w:rPr>
      </w:pPr>
      <w:r w:rsidRPr="001B69D7">
        <w:rPr>
          <w:rFonts w:ascii="Titillium" w:hAnsi="Titillium" w:cs="Calibri"/>
          <w:sz w:val="18"/>
          <w:szCs w:val="18"/>
        </w:rPr>
        <w:t>l’equivalenza delle tutele nel caso in cui l’aggiudicatario abbia dichiarato di applicare un diverso contratto collettivo nazionale diverso rispetto a quello indicato dalla stazione appaltante e il rispetto di quanto indicato nella clausola sociale per l’applicazione dei contratti collettivi nazionali e territoriali</w:t>
      </w:r>
      <w:r>
        <w:rPr>
          <w:rFonts w:ascii="Titillium" w:hAnsi="Titillium" w:cs="Calibri"/>
          <w:sz w:val="18"/>
          <w:szCs w:val="18"/>
        </w:rPr>
        <w:t>;</w:t>
      </w:r>
    </w:p>
    <w:p w14:paraId="038263A3" w14:textId="77777777" w:rsidR="002D3C8E" w:rsidRPr="001B69D7" w:rsidRDefault="002D3C8E" w:rsidP="00E2506D">
      <w:pPr>
        <w:numPr>
          <w:ilvl w:val="0"/>
          <w:numId w:val="31"/>
        </w:numPr>
        <w:spacing w:before="60" w:after="60"/>
        <w:ind w:left="426"/>
        <w:rPr>
          <w:rFonts w:ascii="Titillium" w:hAnsi="Titillium" w:cs="Calibri"/>
          <w:sz w:val="18"/>
          <w:szCs w:val="18"/>
        </w:rPr>
      </w:pPr>
      <w:r w:rsidRPr="001B69D7">
        <w:rPr>
          <w:rFonts w:ascii="Titillium" w:hAnsi="Titillium" w:cs="Calibri"/>
          <w:sz w:val="18"/>
          <w:szCs w:val="18"/>
        </w:rPr>
        <w:t>l’attendibilità degli impegni assunti dall’appaltatore in relazione a quanto richiesto dal punto</w:t>
      </w:r>
      <w:r>
        <w:rPr>
          <w:rFonts w:ascii="Titillium" w:hAnsi="Titillium" w:cs="Calibri"/>
          <w:sz w:val="18"/>
          <w:szCs w:val="18"/>
        </w:rPr>
        <w:t xml:space="preserve"> 9</w:t>
      </w:r>
      <w:r w:rsidRPr="001B69D7">
        <w:rPr>
          <w:rFonts w:ascii="Titillium" w:hAnsi="Titillium" w:cs="Calibri"/>
          <w:sz w:val="18"/>
          <w:szCs w:val="18"/>
        </w:rPr>
        <w:t xml:space="preserve"> e riguardante la stabilità occupazionale.</w:t>
      </w:r>
    </w:p>
    <w:p w14:paraId="3588A25B" w14:textId="48265FE1" w:rsidR="00A2535F" w:rsidRPr="00F53D3E" w:rsidRDefault="00A2535F">
      <w:pPr>
        <w:spacing w:before="60" w:after="60"/>
        <w:rPr>
          <w:rFonts w:ascii="Titillium" w:hAnsi="Titillium" w:cs="Calibri"/>
          <w:sz w:val="18"/>
          <w:szCs w:val="18"/>
        </w:rPr>
      </w:pPr>
      <w:r w:rsidRPr="002D3C8E">
        <w:rPr>
          <w:rFonts w:ascii="Titillium" w:hAnsi="Titillium" w:cs="Calibri"/>
          <w:sz w:val="18"/>
          <w:szCs w:val="18"/>
        </w:rPr>
        <w:t>L'adozione della determinazione di aggiudicazione verrà adottata dalla Stazione Unica Appaltante qualora vi sia stata verifica di congruità delle offerte anomale al termine del relativo procedimento</w:t>
      </w:r>
      <w:r w:rsidR="002D3C8E">
        <w:rPr>
          <w:rFonts w:ascii="Titillium" w:hAnsi="Titillium" w:cs="Calibri"/>
          <w:sz w:val="18"/>
          <w:szCs w:val="18"/>
        </w:rPr>
        <w:t>.</w:t>
      </w:r>
    </w:p>
    <w:p w14:paraId="5BAF5F63" w14:textId="14DCD49D" w:rsidR="004C53A8" w:rsidRPr="009B76BD" w:rsidRDefault="00870286">
      <w:pPr>
        <w:spacing w:before="60" w:after="60"/>
      </w:pPr>
      <w:r w:rsidRPr="009B76BD">
        <w:rPr>
          <w:rFonts w:ascii="Titillium" w:hAnsi="Titillium" w:cs="Calibri"/>
          <w:sz w:val="18"/>
          <w:szCs w:val="18"/>
        </w:rPr>
        <w:t xml:space="preserve">Qualora nessuna offerta risulti conveniente o idonea in relazione all’oggetto del contratto, non </w:t>
      </w:r>
      <w:r w:rsidR="00B64CC9" w:rsidRPr="009B76BD">
        <w:rPr>
          <w:rFonts w:ascii="Titillium" w:hAnsi="Titillium" w:cs="Calibri"/>
          <w:sz w:val="18"/>
          <w:szCs w:val="18"/>
        </w:rPr>
        <w:t xml:space="preserve">si </w:t>
      </w:r>
      <w:r w:rsidRPr="009B76BD">
        <w:rPr>
          <w:rFonts w:ascii="Titillium" w:hAnsi="Titillium" w:cs="Calibri"/>
          <w:sz w:val="18"/>
          <w:szCs w:val="18"/>
        </w:rPr>
        <w:t>procede all’aggiudicazione.</w:t>
      </w:r>
    </w:p>
    <w:p w14:paraId="44DE6D27" w14:textId="58132E2D" w:rsidR="001B69D7" w:rsidRPr="00751711" w:rsidRDefault="001B69D7" w:rsidP="002C2CC2">
      <w:pPr>
        <w:spacing w:before="60" w:after="60"/>
        <w:rPr>
          <w:rFonts w:ascii="Titillium" w:hAnsi="Titillium" w:cs="Calibri"/>
          <w:strike/>
          <w:sz w:val="18"/>
          <w:szCs w:val="18"/>
        </w:rPr>
      </w:pPr>
      <w:r w:rsidRPr="001B69D7">
        <w:rPr>
          <w:rFonts w:ascii="Titillium" w:hAnsi="Titillium" w:cs="Calibri"/>
          <w:sz w:val="18"/>
          <w:szCs w:val="18"/>
        </w:rPr>
        <w:t xml:space="preserve">L’aggiudicazione è disposta all’esito positivo della verifica del possesso dei requisiti prescritti dal presente disciplinare ed è immediatamente efficace. </w:t>
      </w:r>
    </w:p>
    <w:p w14:paraId="0ACA15C3" w14:textId="77777777" w:rsidR="00E44CC2" w:rsidRDefault="00EA5DF3" w:rsidP="001B69D7">
      <w:pPr>
        <w:spacing w:before="60" w:after="60"/>
        <w:rPr>
          <w:rFonts w:ascii="Titillium" w:hAnsi="Titillium" w:cs="Calibri"/>
          <w:sz w:val="18"/>
          <w:szCs w:val="18"/>
        </w:rPr>
      </w:pPr>
      <w:r w:rsidRPr="00EA5DF3">
        <w:rPr>
          <w:rFonts w:ascii="Titillium" w:hAnsi="Titillium" w:cs="Calibri"/>
          <w:sz w:val="18"/>
          <w:szCs w:val="18"/>
        </w:rPr>
        <w:lastRenderedPageBreak/>
        <w:t>La stipulazione del contratto avviene entro 30 giorni dall’aggiudicazione ai sensi dell’art. 55, comma 1, del D.lgs. 36/2023. I termini dilatori previsti dall’articolo 18, commi 3 e 4, non si applicano agli affidamenti dei contratti di importo inferiore alle soglie di rilevanza europea, ai sensi del secondo comma dell’art. 55 del D.lgs. 36/2023</w:t>
      </w:r>
      <w:r w:rsidR="00E44CC2">
        <w:rPr>
          <w:rFonts w:ascii="Titillium" w:hAnsi="Titillium" w:cs="Calibri"/>
          <w:sz w:val="18"/>
          <w:szCs w:val="18"/>
        </w:rPr>
        <w:t>.</w:t>
      </w:r>
    </w:p>
    <w:p w14:paraId="548E2FD1" w14:textId="027CDA29" w:rsidR="001B69D7" w:rsidRPr="001B69D7" w:rsidRDefault="001B69D7" w:rsidP="001B69D7">
      <w:pPr>
        <w:spacing w:before="60" w:after="60"/>
        <w:rPr>
          <w:rFonts w:ascii="Titillium" w:hAnsi="Titillium" w:cs="Calibri"/>
          <w:sz w:val="18"/>
          <w:szCs w:val="18"/>
        </w:rPr>
      </w:pPr>
      <w:r w:rsidRPr="001B69D7">
        <w:rPr>
          <w:rFonts w:ascii="Titillium" w:hAnsi="Titillium" w:cs="Calibri"/>
          <w:sz w:val="18"/>
          <w:szCs w:val="18"/>
        </w:rPr>
        <w:t>A seguito di richiesta motivata proveniente dall’aggiudicatario la data di stipula del contratto può essere differita purché ritenuta compatibile con la sollecita esecuzione del contratto stesso.</w:t>
      </w:r>
    </w:p>
    <w:p w14:paraId="7A0127ED" w14:textId="38449875" w:rsidR="001B69D7" w:rsidRDefault="001B69D7" w:rsidP="001B69D7">
      <w:pPr>
        <w:spacing w:before="60" w:after="60"/>
        <w:rPr>
          <w:rFonts w:ascii="Titillium" w:hAnsi="Titillium" w:cs="Calibri"/>
          <w:sz w:val="18"/>
          <w:szCs w:val="18"/>
        </w:rPr>
      </w:pPr>
      <w:r w:rsidRPr="001B69D7">
        <w:rPr>
          <w:rFonts w:ascii="Titillium" w:hAnsi="Titillium" w:cs="Calibri"/>
          <w:sz w:val="18"/>
          <w:szCs w:val="18"/>
        </w:rPr>
        <w:t>All’atto della stipulazione del contratto, l’aggiudicatario deve presentare la garanzia definitiva da calcolare sull’importo contrattuale, secondo le misure e le modalità previste dall’articolo 117 del Codice.</w:t>
      </w:r>
    </w:p>
    <w:p w14:paraId="0B51FC01" w14:textId="77777777" w:rsidR="001B69D7" w:rsidRPr="001B69D7" w:rsidRDefault="001B69D7" w:rsidP="001B69D7">
      <w:pPr>
        <w:spacing w:before="60" w:after="60"/>
        <w:rPr>
          <w:rFonts w:ascii="Titillium" w:hAnsi="Titillium" w:cs="Calibri"/>
          <w:sz w:val="18"/>
          <w:szCs w:val="18"/>
        </w:rPr>
      </w:pPr>
      <w:r w:rsidRPr="001B69D7">
        <w:rPr>
          <w:rFonts w:ascii="Titillium" w:hAnsi="Titillium" w:cs="Calibri"/>
          <w:sz w:val="18"/>
          <w:szCs w:val="18"/>
        </w:rPr>
        <w:t xml:space="preserve">Se la stipula del contratto non avviene nel termine per fatto della stazione appaltante, l’aggiudicatario può farne constatare il silenzio inadempimento o, in alternativa, può sciogliersi da ogni vincolo mediante atto notificato. All’aggiudicatario non spetta alcun indennizzo, salvo il rimborso delle spese contrattuali. </w:t>
      </w:r>
    </w:p>
    <w:p w14:paraId="1DB924EB" w14:textId="77777777" w:rsidR="001B69D7" w:rsidRDefault="001B69D7" w:rsidP="001B69D7">
      <w:pPr>
        <w:spacing w:before="60" w:after="60"/>
        <w:rPr>
          <w:rFonts w:ascii="Titillium" w:hAnsi="Titillium" w:cs="Calibri"/>
          <w:sz w:val="18"/>
          <w:szCs w:val="18"/>
        </w:rPr>
      </w:pPr>
      <w:r w:rsidRPr="001B69D7">
        <w:rPr>
          <w:rFonts w:ascii="Titillium" w:hAnsi="Titillium" w:cs="Calibri"/>
          <w:sz w:val="18"/>
          <w:szCs w:val="18"/>
        </w:rPr>
        <w:t>Se la stipula del contratto non avviene nel termine fissato per fatto dell’aggiudicatario può costituire motivo di revoca dell’aggiudicazione.</w:t>
      </w:r>
    </w:p>
    <w:p w14:paraId="6DF88D42" w14:textId="6BE07A1A" w:rsidR="001B69D7" w:rsidRPr="001B69D7" w:rsidRDefault="001B69D7" w:rsidP="001B69D7">
      <w:pPr>
        <w:spacing w:before="60" w:after="60"/>
        <w:rPr>
          <w:rFonts w:ascii="Titillium" w:hAnsi="Titillium" w:cs="Calibri"/>
          <w:sz w:val="18"/>
          <w:szCs w:val="18"/>
        </w:rPr>
      </w:pPr>
      <w:r w:rsidRPr="001B69D7">
        <w:rPr>
          <w:rFonts w:ascii="Titillium" w:hAnsi="Titillium" w:cs="Calibri"/>
          <w:sz w:val="18"/>
          <w:szCs w:val="18"/>
        </w:rPr>
        <w:t xml:space="preserve"> La mancata o tardiva stipula del contratto al di fuori delle ipotesi predette, costituisce violazione del dovere di buona fede, anche in pendenza di contenzioso.</w:t>
      </w:r>
    </w:p>
    <w:p w14:paraId="635F80C0" w14:textId="77777777" w:rsidR="001B69D7" w:rsidRPr="001B69D7" w:rsidRDefault="001B69D7" w:rsidP="001B69D7">
      <w:pPr>
        <w:spacing w:before="60" w:after="60"/>
        <w:rPr>
          <w:rFonts w:ascii="Titillium" w:hAnsi="Titillium" w:cs="Calibri"/>
          <w:sz w:val="18"/>
          <w:szCs w:val="18"/>
        </w:rPr>
      </w:pPr>
      <w:r w:rsidRPr="001B69D7">
        <w:rPr>
          <w:rFonts w:ascii="Titillium" w:hAnsi="Titillium" w:cs="Calibri"/>
          <w:sz w:val="18"/>
          <w:szCs w:val="18"/>
        </w:rPr>
        <w:t>L’aggiudicatario deposita, prima o contestualmente alla sottoscrizione del contratto di appalto, i contratti continuativi di cooperazione, servizio e/o fornitura di cui all’articolo 119, comma 3, lett. d) del Codice.</w:t>
      </w:r>
    </w:p>
    <w:p w14:paraId="61DB2907" w14:textId="77777777" w:rsidR="001B69D7" w:rsidRPr="001B69D7" w:rsidRDefault="001B69D7" w:rsidP="001B69D7">
      <w:pPr>
        <w:spacing w:before="60" w:after="60"/>
        <w:rPr>
          <w:rFonts w:ascii="Titillium" w:hAnsi="Titillium" w:cs="Calibri"/>
          <w:sz w:val="18"/>
          <w:szCs w:val="18"/>
        </w:rPr>
      </w:pPr>
      <w:r w:rsidRPr="001B69D7">
        <w:rPr>
          <w:rFonts w:ascii="Titillium" w:hAnsi="Titillium" w:cs="Calibri"/>
          <w:sz w:val="18"/>
          <w:szCs w:val="18"/>
        </w:rPr>
        <w:t>L’affidatario comunica, per ogni sub-contratto che non costituisce subappalto, l’importo e l’oggetto del medesimo, nonché il nome del sub-contraente, prima dell’inizio della prestazione.</w:t>
      </w:r>
    </w:p>
    <w:p w14:paraId="3A98332A" w14:textId="633099BC" w:rsidR="00855407" w:rsidRDefault="00855407" w:rsidP="00855407">
      <w:pPr>
        <w:spacing w:before="60" w:after="60"/>
        <w:rPr>
          <w:rFonts w:ascii="Titillium" w:hAnsi="Titillium" w:cs="Calibri"/>
          <w:sz w:val="18"/>
          <w:szCs w:val="18"/>
        </w:rPr>
      </w:pPr>
      <w:r w:rsidRPr="00855407">
        <w:rPr>
          <w:rFonts w:ascii="Titillium" w:hAnsi="Titillium" w:cs="Calibri"/>
          <w:sz w:val="18"/>
          <w:szCs w:val="18"/>
        </w:rPr>
        <w:t>Il contratto è stipulato</w:t>
      </w:r>
      <w:r w:rsidR="00E90D4A">
        <w:rPr>
          <w:rFonts w:ascii="Titillium" w:hAnsi="Titillium" w:cs="Calibri"/>
          <w:sz w:val="18"/>
          <w:szCs w:val="18"/>
        </w:rPr>
        <w:t xml:space="preserve">, </w:t>
      </w:r>
      <w:r w:rsidRPr="00855407">
        <w:rPr>
          <w:rFonts w:ascii="Titillium" w:hAnsi="Titillium" w:cs="Calibri"/>
          <w:sz w:val="18"/>
          <w:szCs w:val="18"/>
        </w:rPr>
        <w:t>in modalità elettronica, in forma pubblica amministrativa</w:t>
      </w:r>
      <w:r>
        <w:rPr>
          <w:rFonts w:ascii="Titillium" w:hAnsi="Titillium" w:cs="Calibri"/>
          <w:sz w:val="18"/>
          <w:szCs w:val="18"/>
        </w:rPr>
        <w:t xml:space="preserve">, </w:t>
      </w:r>
      <w:r w:rsidRPr="00855407">
        <w:rPr>
          <w:rFonts w:ascii="Titillium" w:hAnsi="Titillium" w:cs="Calibri"/>
          <w:sz w:val="18"/>
          <w:szCs w:val="18"/>
        </w:rPr>
        <w:t xml:space="preserve">a cura dell’Ufficiale Rogante del Comune di </w:t>
      </w:r>
      <w:r w:rsidR="000D0F76">
        <w:rPr>
          <w:rFonts w:ascii="Titillium" w:hAnsi="Titillium" w:cs="Calibri"/>
          <w:sz w:val="18"/>
          <w:szCs w:val="18"/>
        </w:rPr>
        <w:t>Castel San Giovanni</w:t>
      </w:r>
      <w:r w:rsidR="00D16312">
        <w:rPr>
          <w:rFonts w:ascii="Titillium" w:hAnsi="Titillium" w:cs="Calibri"/>
          <w:sz w:val="18"/>
          <w:szCs w:val="18"/>
        </w:rPr>
        <w:t>.</w:t>
      </w:r>
    </w:p>
    <w:p w14:paraId="2B4F3FCD" w14:textId="71DC38F2" w:rsidR="00070ED6" w:rsidRPr="00855407" w:rsidRDefault="00070ED6" w:rsidP="00070ED6">
      <w:pPr>
        <w:spacing w:before="60" w:after="60"/>
        <w:rPr>
          <w:rFonts w:ascii="Titillium" w:hAnsi="Titillium" w:cs="Calibri"/>
          <w:sz w:val="18"/>
          <w:szCs w:val="18"/>
        </w:rPr>
      </w:pPr>
      <w:r w:rsidRPr="00070ED6">
        <w:rPr>
          <w:rFonts w:ascii="Titillium" w:hAnsi="Titillium" w:cs="Calibri"/>
          <w:sz w:val="18"/>
          <w:szCs w:val="18"/>
        </w:rPr>
        <w:t>Sono a carico dell’aggiudicatario tutte le spese contrattuali, gli oneri fiscali quali imposte e tasse - ivi comprese quelle di registro ove dovute - relative alla stipulazione del contratto</w:t>
      </w:r>
      <w:r>
        <w:rPr>
          <w:rFonts w:ascii="Titillium" w:hAnsi="Titillium" w:cs="Calibri"/>
          <w:sz w:val="18"/>
          <w:szCs w:val="18"/>
        </w:rPr>
        <w:t>.</w:t>
      </w:r>
    </w:p>
    <w:p w14:paraId="010CE3B8" w14:textId="324CC264" w:rsidR="004C53A8" w:rsidRDefault="004C667D" w:rsidP="0018375B">
      <w:pPr>
        <w:pStyle w:val="Titolo2"/>
        <w:numPr>
          <w:ilvl w:val="0"/>
          <w:numId w:val="3"/>
        </w:numPr>
        <w:spacing w:before="240"/>
        <w:ind w:left="357" w:hanging="357"/>
      </w:pPr>
      <w:bookmarkStart w:id="2939" w:name="_Toc89270316"/>
      <w:r>
        <w:rPr>
          <w:rFonts w:ascii="Titillium" w:hAnsi="Titillium"/>
          <w:caps w:val="0"/>
          <w:sz w:val="18"/>
          <w:szCs w:val="18"/>
        </w:rPr>
        <w:t>OBBLIGHI RELATIVI ALLA TRACCIABILITÀ DEI FLUSSI FINANZIARI</w:t>
      </w:r>
      <w:bookmarkEnd w:id="2939"/>
      <w:r>
        <w:rPr>
          <w:rFonts w:ascii="Titillium" w:hAnsi="Titillium"/>
          <w:caps w:val="0"/>
          <w:sz w:val="18"/>
          <w:szCs w:val="18"/>
        </w:rPr>
        <w:t xml:space="preserve"> </w:t>
      </w:r>
    </w:p>
    <w:p w14:paraId="0F843CCC" w14:textId="77777777" w:rsidR="001B69D7" w:rsidRPr="001B69D7" w:rsidRDefault="001B69D7" w:rsidP="00070ED6">
      <w:pPr>
        <w:rPr>
          <w:rFonts w:ascii="Titillium" w:hAnsi="Titillium"/>
          <w:sz w:val="18"/>
          <w:szCs w:val="18"/>
        </w:rPr>
      </w:pPr>
      <w:r w:rsidRPr="001B69D7">
        <w:rPr>
          <w:rFonts w:ascii="Titillium" w:hAnsi="Titillium"/>
          <w:sz w:val="18"/>
          <w:szCs w:val="18"/>
        </w:rPr>
        <w:t>Il contratto d’appalto è soggetto agli obblighi in tema di tracciabilità dei flussi finanziari di cui alla legge 13 agosto 2010, n. 136.</w:t>
      </w:r>
    </w:p>
    <w:p w14:paraId="5F1D0F09" w14:textId="77777777" w:rsidR="001B69D7" w:rsidRPr="001B69D7" w:rsidRDefault="001B69D7" w:rsidP="00070ED6">
      <w:pPr>
        <w:rPr>
          <w:rFonts w:ascii="Titillium" w:hAnsi="Titillium"/>
          <w:sz w:val="18"/>
          <w:szCs w:val="18"/>
        </w:rPr>
      </w:pPr>
      <w:r w:rsidRPr="001B69D7">
        <w:rPr>
          <w:rFonts w:ascii="Titillium" w:hAnsi="Titillium"/>
          <w:sz w:val="18"/>
          <w:szCs w:val="18"/>
        </w:rPr>
        <w:t>L’affidatario deve comunicare alla stazione appaltante:</w:t>
      </w:r>
    </w:p>
    <w:p w14:paraId="78D6BD8F" w14:textId="6733BEFF" w:rsidR="001B69D7" w:rsidRPr="001B69D7" w:rsidRDefault="001B69D7" w:rsidP="005D67CA">
      <w:pPr>
        <w:pStyle w:val="Paragrafoelenco"/>
        <w:numPr>
          <w:ilvl w:val="0"/>
          <w:numId w:val="32"/>
        </w:numPr>
        <w:ind w:left="426"/>
        <w:rPr>
          <w:rFonts w:ascii="Titillium" w:hAnsi="Titillium"/>
          <w:sz w:val="18"/>
          <w:szCs w:val="18"/>
        </w:rPr>
      </w:pPr>
      <w:r w:rsidRPr="001B69D7">
        <w:rPr>
          <w:rFonts w:ascii="Titillium" w:hAnsi="Titillium"/>
          <w:sz w:val="18"/>
          <w:szCs w:val="18"/>
        </w:rPr>
        <w:t>gli estremi identificativi dei conti correnti bancari o postali dedicati, con l'indicazione dell'opera/servizio/fornitura alla quale sono dedicati;</w:t>
      </w:r>
    </w:p>
    <w:p w14:paraId="6133095D" w14:textId="0FE081C0" w:rsidR="001B69D7" w:rsidRPr="001B69D7" w:rsidRDefault="001B69D7" w:rsidP="005D67CA">
      <w:pPr>
        <w:pStyle w:val="Paragrafoelenco"/>
        <w:numPr>
          <w:ilvl w:val="0"/>
          <w:numId w:val="32"/>
        </w:numPr>
        <w:ind w:left="426"/>
        <w:rPr>
          <w:rFonts w:ascii="Titillium" w:hAnsi="Titillium"/>
          <w:sz w:val="18"/>
          <w:szCs w:val="18"/>
        </w:rPr>
      </w:pPr>
      <w:r w:rsidRPr="001B69D7">
        <w:rPr>
          <w:rFonts w:ascii="Titillium" w:hAnsi="Titillium"/>
          <w:sz w:val="18"/>
          <w:szCs w:val="18"/>
        </w:rPr>
        <w:t>le generalità e il codice fiscale delle persone delegate ad operare sugli stessi;</w:t>
      </w:r>
    </w:p>
    <w:p w14:paraId="7DFB1CB5" w14:textId="198FDEDD" w:rsidR="001B69D7" w:rsidRPr="001B69D7" w:rsidRDefault="001B69D7" w:rsidP="005D67CA">
      <w:pPr>
        <w:pStyle w:val="Paragrafoelenco"/>
        <w:numPr>
          <w:ilvl w:val="0"/>
          <w:numId w:val="32"/>
        </w:numPr>
        <w:ind w:left="426"/>
        <w:rPr>
          <w:rFonts w:ascii="Titillium" w:hAnsi="Titillium"/>
          <w:sz w:val="18"/>
          <w:szCs w:val="18"/>
        </w:rPr>
      </w:pPr>
      <w:r w:rsidRPr="001B69D7">
        <w:rPr>
          <w:rFonts w:ascii="Titillium" w:hAnsi="Titillium"/>
          <w:sz w:val="18"/>
          <w:szCs w:val="18"/>
        </w:rPr>
        <w:t xml:space="preserve">ogni modifica relativa ai dati trasmessi. </w:t>
      </w:r>
    </w:p>
    <w:p w14:paraId="3F9AD1D0" w14:textId="09E5D1CC" w:rsidR="006642D7" w:rsidRPr="006642D7" w:rsidRDefault="006642D7" w:rsidP="006642D7">
      <w:pPr>
        <w:rPr>
          <w:rFonts w:ascii="Titillium" w:hAnsi="Titillium"/>
          <w:sz w:val="18"/>
          <w:szCs w:val="18"/>
        </w:rPr>
      </w:pPr>
      <w:r w:rsidRPr="006642D7">
        <w:rPr>
          <w:rFonts w:ascii="Titillium" w:hAnsi="Titillium"/>
          <w:sz w:val="18"/>
          <w:szCs w:val="18"/>
        </w:rPr>
        <w:t xml:space="preserve">La comunicazione deve essere effettuata entro sette giorni dall'accensione del conto corrente ovvero, nel caso di conti correnti già esistenti, dalla loro prima utilizzazione in operazioni finanziarie relative ad una commessa pubblica. In caso di persone giuridiche, la comunicazione de quo deve essere sottoscritta da un legale rappresentante ovvero da un soggetto munito di apposita procura. L'omessa, tardiva o incompleta comunicazione degli elementi informativi comporta, a carico del soggetto inadempiente, l'applicazione di una sanzione amministrativa pecuniaria da 500 a 3.000 euro. </w:t>
      </w:r>
    </w:p>
    <w:p w14:paraId="2D3D7BE7" w14:textId="5DD32ECF" w:rsidR="006642D7" w:rsidRPr="006642D7" w:rsidRDefault="006642D7" w:rsidP="006642D7">
      <w:pPr>
        <w:rPr>
          <w:rFonts w:ascii="Titillium" w:hAnsi="Titillium"/>
          <w:sz w:val="18"/>
          <w:szCs w:val="18"/>
        </w:rPr>
      </w:pPr>
      <w:r w:rsidRPr="006642D7">
        <w:rPr>
          <w:rFonts w:ascii="Titillium" w:hAnsi="Titillium"/>
          <w:sz w:val="18"/>
          <w:szCs w:val="18"/>
        </w:rPr>
        <w:t xml:space="preserve">Il mancato adempimento agli obblighi previsti per la tracciabilità dei flussi finanziari relativi all’appalto comporta la risoluzione di diritto del contratto. </w:t>
      </w:r>
    </w:p>
    <w:p w14:paraId="34E1B541" w14:textId="1ACFEB7A" w:rsidR="006642D7" w:rsidRPr="006642D7" w:rsidRDefault="006642D7" w:rsidP="006642D7">
      <w:pPr>
        <w:rPr>
          <w:rFonts w:ascii="Titillium" w:hAnsi="Titillium"/>
          <w:sz w:val="18"/>
          <w:szCs w:val="18"/>
        </w:rPr>
      </w:pPr>
      <w:r w:rsidRPr="006642D7">
        <w:rPr>
          <w:rFonts w:ascii="Titillium" w:hAnsi="Titillium"/>
          <w:sz w:val="18"/>
          <w:szCs w:val="18"/>
        </w:rPr>
        <w:t xml:space="preserve">In occasione di ogni pagamento all’appaltatore o di interventi di controllo ulteriori si procede alla verifica dell’assolvimento degli obblighi relativi alla tracciabilità dei flussi finanziari. </w:t>
      </w:r>
    </w:p>
    <w:p w14:paraId="117AC61B" w14:textId="2F051B68" w:rsidR="001B69D7" w:rsidRDefault="006642D7" w:rsidP="0018375B">
      <w:pPr>
        <w:spacing w:after="240"/>
        <w:rPr>
          <w:rFonts w:ascii="Titillium" w:hAnsi="Titillium"/>
          <w:sz w:val="18"/>
          <w:szCs w:val="18"/>
        </w:rPr>
      </w:pPr>
      <w:r w:rsidRPr="006642D7">
        <w:rPr>
          <w:rFonts w:ascii="Titillium" w:hAnsi="Titillium"/>
          <w:sz w:val="18"/>
          <w:szCs w:val="18"/>
        </w:rPr>
        <w:t xml:space="preserve">Il contratto è sottoposto alla condizione risolutiva in tutti i casi in cui le transazioni siano state eseguite senza avvalersi di banche o di Società Poste Italiane S.p.a. o anche senza strumenti diversi dal bonifico bancario o postale che siano idonei a garantire la piena tracciabilità delle operazioni per il corrispettivo dovuto in dipendenza del contratto. </w:t>
      </w:r>
    </w:p>
    <w:p w14:paraId="774BEE37" w14:textId="0512E2AA" w:rsidR="004C53A8" w:rsidRPr="00E80BA3" w:rsidRDefault="004C667D" w:rsidP="00473A92">
      <w:pPr>
        <w:pStyle w:val="Paragrafoelenco"/>
        <w:numPr>
          <w:ilvl w:val="0"/>
          <w:numId w:val="3"/>
        </w:numPr>
        <w:rPr>
          <w:b/>
        </w:rPr>
      </w:pPr>
      <w:bookmarkStart w:id="2940" w:name="_Toc89270318"/>
      <w:r w:rsidRPr="00E80BA3">
        <w:rPr>
          <w:rFonts w:ascii="Titillium" w:hAnsi="Titillium"/>
          <w:b/>
          <w:caps/>
          <w:sz w:val="18"/>
          <w:szCs w:val="18"/>
        </w:rPr>
        <w:t xml:space="preserve">CODICE </w:t>
      </w:r>
      <w:r w:rsidR="008B7EE1" w:rsidRPr="00E80BA3">
        <w:rPr>
          <w:rFonts w:ascii="Titillium" w:hAnsi="Titillium"/>
          <w:b/>
          <w:caps/>
          <w:sz w:val="18"/>
          <w:szCs w:val="18"/>
        </w:rPr>
        <w:t>DI COMPORTAMENTO</w:t>
      </w:r>
      <w:bookmarkEnd w:id="2940"/>
      <w:r w:rsidR="008B7EE1" w:rsidRPr="00E80BA3">
        <w:rPr>
          <w:rFonts w:ascii="Titillium" w:hAnsi="Titillium"/>
          <w:b/>
          <w:caps/>
          <w:sz w:val="18"/>
          <w:szCs w:val="18"/>
        </w:rPr>
        <w:t xml:space="preserve"> </w:t>
      </w:r>
      <w:r w:rsidRPr="00E80BA3">
        <w:rPr>
          <w:rFonts w:ascii="Titillium" w:hAnsi="Titillium"/>
          <w:b/>
          <w:caps/>
          <w:sz w:val="18"/>
          <w:szCs w:val="18"/>
        </w:rPr>
        <w:t xml:space="preserve"> </w:t>
      </w:r>
    </w:p>
    <w:p w14:paraId="29C66B9C" w14:textId="4E13C9ED" w:rsidR="00E80BA3" w:rsidRDefault="00870286" w:rsidP="00831763">
      <w:pPr>
        <w:widowControl w:val="0"/>
        <w:spacing w:line="280" w:lineRule="exact"/>
        <w:rPr>
          <w:rFonts w:ascii="Titillium" w:hAnsi="Titillium"/>
          <w:sz w:val="18"/>
          <w:szCs w:val="18"/>
        </w:rPr>
      </w:pPr>
      <w:r>
        <w:rPr>
          <w:rFonts w:ascii="Titillium" w:hAnsi="Titillium"/>
          <w:sz w:val="18"/>
          <w:szCs w:val="18"/>
          <w:lang w:eastAsia="it-IT"/>
        </w:rPr>
        <w:t>Nello svolgimento delle attività oggetto del contratto di appalto, l’aggiudicatario</w:t>
      </w:r>
      <w:r w:rsidR="00D719B3">
        <w:rPr>
          <w:rFonts w:ascii="Titillium" w:hAnsi="Titillium"/>
          <w:sz w:val="18"/>
          <w:szCs w:val="18"/>
          <w:lang w:eastAsia="it-IT"/>
        </w:rPr>
        <w:t xml:space="preserve"> </w:t>
      </w:r>
      <w:r w:rsidRPr="00D719B3">
        <w:rPr>
          <w:rFonts w:ascii="Titillium" w:hAnsi="Titillium"/>
          <w:sz w:val="18"/>
          <w:szCs w:val="18"/>
          <w:lang w:eastAsia="it-IT"/>
        </w:rPr>
        <w:t>deve</w:t>
      </w:r>
      <w:r>
        <w:rPr>
          <w:rFonts w:ascii="Titillium" w:hAnsi="Titillium"/>
          <w:sz w:val="18"/>
          <w:szCs w:val="18"/>
          <w:lang w:eastAsia="it-IT"/>
        </w:rPr>
        <w:t xml:space="preserve"> uniformarsi ai principi e</w:t>
      </w:r>
      <w:r w:rsidR="008D6E8D">
        <w:rPr>
          <w:rFonts w:ascii="Titillium" w:hAnsi="Titillium"/>
          <w:sz w:val="18"/>
          <w:szCs w:val="18"/>
          <w:lang w:eastAsia="it-IT"/>
        </w:rPr>
        <w:t xml:space="preserve">, per quanto compatibili, </w:t>
      </w:r>
      <w:r>
        <w:rPr>
          <w:rFonts w:ascii="Titillium" w:hAnsi="Titillium"/>
          <w:sz w:val="18"/>
          <w:szCs w:val="18"/>
          <w:lang w:eastAsia="it-IT"/>
        </w:rPr>
        <w:t xml:space="preserve">ai doveri </w:t>
      </w:r>
      <w:r w:rsidR="008D6E8D">
        <w:rPr>
          <w:rFonts w:ascii="Titillium" w:hAnsi="Titillium"/>
          <w:sz w:val="18"/>
          <w:szCs w:val="18"/>
          <w:lang w:eastAsia="it-IT"/>
        </w:rPr>
        <w:t xml:space="preserve">di condotta </w:t>
      </w:r>
      <w:r>
        <w:rPr>
          <w:rFonts w:ascii="Titillium" w:hAnsi="Titillium"/>
          <w:sz w:val="18"/>
          <w:szCs w:val="18"/>
          <w:lang w:eastAsia="it-IT"/>
        </w:rPr>
        <w:t xml:space="preserve">richiamati nel </w:t>
      </w:r>
      <w:r w:rsidR="008D6E8D">
        <w:rPr>
          <w:rFonts w:ascii="Titillium" w:hAnsi="Titillium"/>
          <w:sz w:val="18"/>
          <w:szCs w:val="18"/>
          <w:lang w:eastAsia="it-IT"/>
        </w:rPr>
        <w:t>Decreto del Presidente della Repubblica 16 aprile 2013 n. 62</w:t>
      </w:r>
      <w:r>
        <w:rPr>
          <w:rFonts w:ascii="Titillium" w:hAnsi="Titillium"/>
          <w:sz w:val="18"/>
          <w:szCs w:val="18"/>
          <w:lang w:eastAsia="it-IT"/>
        </w:rPr>
        <w:t xml:space="preserve"> e </w:t>
      </w:r>
      <w:r w:rsidR="008D6E8D">
        <w:rPr>
          <w:rFonts w:ascii="Titillium" w:hAnsi="Titillium"/>
          <w:sz w:val="18"/>
          <w:szCs w:val="18"/>
          <w:lang w:eastAsia="it-IT"/>
        </w:rPr>
        <w:t xml:space="preserve">nel codice di comportamento </w:t>
      </w:r>
      <w:r w:rsidR="00D719B3">
        <w:rPr>
          <w:rFonts w:ascii="Titillium" w:hAnsi="Titillium"/>
          <w:sz w:val="18"/>
          <w:szCs w:val="18"/>
          <w:lang w:eastAsia="it-IT"/>
        </w:rPr>
        <w:t xml:space="preserve">adottato </w:t>
      </w:r>
      <w:r w:rsidR="00B14726">
        <w:rPr>
          <w:rFonts w:ascii="Titillium" w:hAnsi="Titillium"/>
          <w:sz w:val="18"/>
          <w:szCs w:val="18"/>
          <w:lang w:eastAsia="it-IT"/>
        </w:rPr>
        <w:t xml:space="preserve">con </w:t>
      </w:r>
      <w:bookmarkStart w:id="2941" w:name="_Toc89270319"/>
      <w:r w:rsidR="008B17E0" w:rsidRPr="008B17E0">
        <w:rPr>
          <w:rFonts w:ascii="Titillium" w:hAnsi="Titillium"/>
          <w:sz w:val="18"/>
          <w:szCs w:val="18"/>
          <w:lang w:eastAsia="it-IT"/>
        </w:rPr>
        <w:t>Deliberazione Giunta Comunale</w:t>
      </w:r>
      <w:r w:rsidR="00A97C8F">
        <w:rPr>
          <w:rFonts w:ascii="Titillium" w:hAnsi="Titillium"/>
          <w:sz w:val="18"/>
          <w:szCs w:val="18"/>
          <w:lang w:eastAsia="it-IT"/>
        </w:rPr>
        <w:t xml:space="preserve"> del Comune di </w:t>
      </w:r>
      <w:r w:rsidR="00AB362F">
        <w:rPr>
          <w:rFonts w:ascii="Titillium" w:hAnsi="Titillium"/>
          <w:sz w:val="18"/>
          <w:szCs w:val="18"/>
          <w:lang w:eastAsia="it-IT"/>
        </w:rPr>
        <w:t xml:space="preserve">Castel San </w:t>
      </w:r>
      <w:r w:rsidR="00AB362F" w:rsidRPr="002D549E">
        <w:rPr>
          <w:rFonts w:ascii="Titillium" w:hAnsi="Titillium"/>
          <w:sz w:val="18"/>
          <w:szCs w:val="18"/>
          <w:lang w:eastAsia="it-IT"/>
        </w:rPr>
        <w:t>Giovanni</w:t>
      </w:r>
      <w:r w:rsidR="008B17E0" w:rsidRPr="002D549E">
        <w:rPr>
          <w:rFonts w:ascii="Titillium" w:hAnsi="Titillium"/>
          <w:sz w:val="18"/>
          <w:szCs w:val="18"/>
          <w:lang w:eastAsia="it-IT"/>
        </w:rPr>
        <w:t xml:space="preserve"> </w:t>
      </w:r>
      <w:r w:rsidR="00E02BE6" w:rsidRPr="002D549E">
        <w:rPr>
          <w:rFonts w:ascii="Titillium" w:hAnsi="Titillium"/>
          <w:sz w:val="18"/>
          <w:szCs w:val="18"/>
          <w:lang w:eastAsia="it-IT"/>
        </w:rPr>
        <w:t xml:space="preserve">n. </w:t>
      </w:r>
      <w:r w:rsidR="002D549E" w:rsidRPr="002D549E">
        <w:rPr>
          <w:rFonts w:ascii="Titillium" w:hAnsi="Titillium"/>
          <w:sz w:val="18"/>
          <w:szCs w:val="18"/>
          <w:lang w:eastAsia="it-IT"/>
        </w:rPr>
        <w:t>137</w:t>
      </w:r>
      <w:r w:rsidR="00E02BE6" w:rsidRPr="002D549E">
        <w:rPr>
          <w:rFonts w:ascii="Titillium" w:hAnsi="Titillium"/>
          <w:sz w:val="18"/>
          <w:szCs w:val="18"/>
          <w:lang w:eastAsia="it-IT"/>
        </w:rPr>
        <w:t xml:space="preserve"> del </w:t>
      </w:r>
      <w:r w:rsidR="002D549E" w:rsidRPr="002D549E">
        <w:rPr>
          <w:rFonts w:ascii="Titillium" w:hAnsi="Titillium"/>
          <w:sz w:val="18"/>
          <w:szCs w:val="18"/>
          <w:lang w:eastAsia="it-IT"/>
        </w:rPr>
        <w:t>28</w:t>
      </w:r>
      <w:r w:rsidR="00E02BE6" w:rsidRPr="002D549E">
        <w:rPr>
          <w:rFonts w:ascii="Titillium" w:hAnsi="Titillium"/>
          <w:sz w:val="18"/>
          <w:szCs w:val="18"/>
          <w:lang w:eastAsia="it-IT"/>
        </w:rPr>
        <w:t>/</w:t>
      </w:r>
      <w:r w:rsidR="002D549E" w:rsidRPr="002D549E">
        <w:rPr>
          <w:rFonts w:ascii="Titillium" w:hAnsi="Titillium"/>
          <w:sz w:val="18"/>
          <w:szCs w:val="18"/>
          <w:lang w:eastAsia="it-IT"/>
        </w:rPr>
        <w:t>10</w:t>
      </w:r>
      <w:r w:rsidR="00E02BE6" w:rsidRPr="002D549E">
        <w:rPr>
          <w:rFonts w:ascii="Titillium" w:hAnsi="Titillium"/>
          <w:sz w:val="18"/>
          <w:szCs w:val="18"/>
          <w:lang w:eastAsia="it-IT"/>
        </w:rPr>
        <w:t>/20</w:t>
      </w:r>
      <w:r w:rsidR="002D549E" w:rsidRPr="002D549E">
        <w:rPr>
          <w:rFonts w:ascii="Titillium" w:hAnsi="Titillium"/>
          <w:sz w:val="18"/>
          <w:szCs w:val="18"/>
          <w:lang w:eastAsia="it-IT"/>
        </w:rPr>
        <w:t>21</w:t>
      </w:r>
      <w:r w:rsidR="00E02BE6" w:rsidRPr="002D549E">
        <w:rPr>
          <w:rFonts w:ascii="Titillium" w:hAnsi="Titillium"/>
          <w:sz w:val="18"/>
          <w:szCs w:val="18"/>
          <w:lang w:eastAsia="it-IT"/>
        </w:rPr>
        <w:t>,</w:t>
      </w:r>
      <w:r w:rsidR="00C30E63">
        <w:rPr>
          <w:rFonts w:ascii="Titillium" w:hAnsi="Titillium"/>
          <w:sz w:val="18"/>
          <w:szCs w:val="18"/>
          <w:lang w:eastAsia="it-IT"/>
        </w:rPr>
        <w:t xml:space="preserve"> allegat</w:t>
      </w:r>
      <w:r w:rsidR="00E02BE6">
        <w:rPr>
          <w:rFonts w:ascii="Titillium" w:hAnsi="Titillium"/>
          <w:sz w:val="18"/>
          <w:szCs w:val="18"/>
          <w:lang w:eastAsia="it-IT"/>
        </w:rPr>
        <w:t>o</w:t>
      </w:r>
      <w:r w:rsidR="00C30E63">
        <w:rPr>
          <w:rFonts w:ascii="Titillium" w:hAnsi="Titillium"/>
          <w:sz w:val="18"/>
          <w:szCs w:val="18"/>
          <w:lang w:eastAsia="it-IT"/>
        </w:rPr>
        <w:t xml:space="preserve"> ai documenti di gara.</w:t>
      </w:r>
    </w:p>
    <w:p w14:paraId="3B7883AF" w14:textId="67D2355D" w:rsidR="004C53A8" w:rsidRPr="00831763" w:rsidRDefault="00870286" w:rsidP="00A97C8F">
      <w:pPr>
        <w:pStyle w:val="Titolo2"/>
        <w:numPr>
          <w:ilvl w:val="0"/>
          <w:numId w:val="3"/>
        </w:numPr>
        <w:spacing w:before="240"/>
        <w:ind w:left="357" w:hanging="357"/>
        <w:rPr>
          <w:rFonts w:ascii="Titillium" w:hAnsi="Titillium"/>
          <w:sz w:val="18"/>
          <w:szCs w:val="18"/>
        </w:rPr>
      </w:pPr>
      <w:r w:rsidRPr="00831763">
        <w:rPr>
          <w:rFonts w:ascii="Titillium" w:hAnsi="Titillium"/>
          <w:sz w:val="18"/>
          <w:szCs w:val="18"/>
        </w:rPr>
        <w:lastRenderedPageBreak/>
        <w:t>ACCESSO AGLI ATTI</w:t>
      </w:r>
      <w:bookmarkEnd w:id="2941"/>
    </w:p>
    <w:p w14:paraId="5F205EFD" w14:textId="77777777" w:rsidR="006E0EF5" w:rsidRPr="00AF481C" w:rsidRDefault="006E0EF5" w:rsidP="006E0EF5">
      <w:pPr>
        <w:widowControl w:val="0"/>
        <w:spacing w:line="280" w:lineRule="exact"/>
        <w:rPr>
          <w:rFonts w:ascii="Titillium" w:hAnsi="Titillium"/>
          <w:sz w:val="18"/>
          <w:szCs w:val="18"/>
        </w:rPr>
      </w:pPr>
      <w:r w:rsidRPr="00AF481C">
        <w:rPr>
          <w:rFonts w:ascii="Titillium" w:hAnsi="Titillium"/>
          <w:sz w:val="18"/>
          <w:szCs w:val="18"/>
        </w:rPr>
        <w:t>L’accesso agli atti della procedura è assicurato in modalità digitale mediante acquisizione diretta dei dati e delle informazioni inseriti nelle PAD a decorrere dalla comunicazione digitale dell’aggiudicazione.</w:t>
      </w:r>
    </w:p>
    <w:p w14:paraId="77E8EB9F" w14:textId="77777777" w:rsidR="006E0EF5" w:rsidRPr="00B3210E" w:rsidRDefault="006E0EF5" w:rsidP="006E0EF5">
      <w:pPr>
        <w:widowControl w:val="0"/>
        <w:spacing w:line="280" w:lineRule="exact"/>
        <w:rPr>
          <w:rFonts w:ascii="Titillium" w:hAnsi="Titillium"/>
          <w:b/>
          <w:i/>
          <w:sz w:val="18"/>
          <w:szCs w:val="18"/>
        </w:rPr>
      </w:pPr>
      <w:r w:rsidRPr="00B3210E">
        <w:rPr>
          <w:rFonts w:ascii="Titillium" w:hAnsi="Titillium"/>
          <w:sz w:val="18"/>
          <w:szCs w:val="18"/>
        </w:rPr>
        <w:t>A tutti i partecipanti non esclusi in via definitiva sono messi a disposizione, mediante la PAD in sede di comunicazione dell’aggiudicazione, l’offerta dell’operatore economico risultato aggiudicatario, i verbali di gara e gli atti, i dati e le informazioni che sono stati valutati ai fini dell’aggiudicazione.</w:t>
      </w:r>
      <w:r w:rsidRPr="00B3210E">
        <w:rPr>
          <w:rFonts w:ascii="Titillium" w:hAnsi="Titillium"/>
          <w:i/>
          <w:sz w:val="18"/>
          <w:szCs w:val="18"/>
        </w:rPr>
        <w:t xml:space="preserve"> </w:t>
      </w:r>
    </w:p>
    <w:p w14:paraId="3DA41930" w14:textId="77777777" w:rsidR="006E0EF5" w:rsidRPr="00C17CD7" w:rsidRDefault="006E0EF5" w:rsidP="006E0EF5">
      <w:pPr>
        <w:widowControl w:val="0"/>
        <w:spacing w:line="280" w:lineRule="exact"/>
        <w:rPr>
          <w:rFonts w:ascii="Titillium" w:hAnsi="Titillium"/>
          <w:sz w:val="18"/>
          <w:szCs w:val="18"/>
        </w:rPr>
      </w:pPr>
      <w:r w:rsidRPr="00B3210E">
        <w:rPr>
          <w:rFonts w:ascii="Titillium" w:hAnsi="Titillium"/>
          <w:sz w:val="18"/>
          <w:szCs w:val="18"/>
        </w:rPr>
        <w:t>Ai partecipanti collocatisi nei primi cinque posti della gradu</w:t>
      </w:r>
      <w:r w:rsidRPr="00AF481C">
        <w:rPr>
          <w:rFonts w:ascii="Titillium" w:hAnsi="Titillium"/>
          <w:sz w:val="18"/>
          <w:szCs w:val="18"/>
        </w:rPr>
        <w:t>atoria sono rese disponibili, reciprocamente, le offerte presentate dagli stessi mediante</w:t>
      </w:r>
      <w:r w:rsidRPr="00C17CD7">
        <w:rPr>
          <w:rFonts w:ascii="Titillium" w:hAnsi="Titillium"/>
          <w:sz w:val="18"/>
          <w:szCs w:val="18"/>
        </w:rPr>
        <w:t xml:space="preserve"> </w:t>
      </w:r>
      <w:r w:rsidRPr="00C17CD7">
        <w:rPr>
          <w:rFonts w:ascii="Titillium" w:hAnsi="Titillium"/>
          <w:iCs/>
          <w:sz w:val="18"/>
          <w:szCs w:val="18"/>
        </w:rPr>
        <w:t>la PAD, secondo le modalità indicate all’articolo 36 del codice.</w:t>
      </w:r>
    </w:p>
    <w:p w14:paraId="5B672BF7" w14:textId="77777777" w:rsidR="006E0EF5" w:rsidRPr="00AF481C" w:rsidRDefault="006E0EF5" w:rsidP="006E0EF5">
      <w:pPr>
        <w:widowControl w:val="0"/>
        <w:spacing w:line="280" w:lineRule="exact"/>
        <w:rPr>
          <w:rFonts w:ascii="Titillium" w:hAnsi="Titillium"/>
          <w:sz w:val="18"/>
          <w:szCs w:val="18"/>
        </w:rPr>
      </w:pPr>
      <w:r w:rsidRPr="00AF481C">
        <w:rPr>
          <w:rFonts w:ascii="Titillium" w:hAnsi="Titillium"/>
          <w:sz w:val="18"/>
          <w:szCs w:val="18"/>
        </w:rPr>
        <w:t xml:space="preserve">I partecipanti collocatisi oltre il quinto posto della graduatoria possono accedere alle offerte dei concorrenti diversi dal primo presentando apposita istanza ai sensi degli articoli 3 bis e 22 della legge n. 241/90. </w:t>
      </w:r>
    </w:p>
    <w:p w14:paraId="200E814B" w14:textId="77777777" w:rsidR="006E0EF5" w:rsidRPr="00522C10" w:rsidRDefault="006E0EF5" w:rsidP="006E0EF5">
      <w:pPr>
        <w:widowControl w:val="0"/>
        <w:spacing w:line="280" w:lineRule="exact"/>
        <w:rPr>
          <w:rFonts w:ascii="Titillium" w:hAnsi="Titillium"/>
          <w:sz w:val="18"/>
          <w:szCs w:val="18"/>
        </w:rPr>
      </w:pPr>
      <w:r w:rsidRPr="00AF481C">
        <w:rPr>
          <w:rFonts w:ascii="Titillium" w:hAnsi="Titillium"/>
          <w:sz w:val="18"/>
          <w:szCs w:val="18"/>
        </w:rPr>
        <w:t xml:space="preserve">Nel caso in cui sia richiesto l’oscuramento di parti delle offerte e dei giustificativi, le decisioni in ordine all’accoglimento o al rigetto della richiesta sono rese note dal Responsabile unico di progetto al momento della comunicazione digitale dell’aggiudicazione.  Le decisioni di cui sopra possono essere impugnate innanzi al Tribunale amministrativo di competenza nel termine di dieci giorni dalla </w:t>
      </w:r>
      <w:r w:rsidRPr="00522C10">
        <w:rPr>
          <w:rFonts w:ascii="Titillium" w:hAnsi="Titillium"/>
          <w:sz w:val="18"/>
          <w:szCs w:val="18"/>
        </w:rPr>
        <w:t>comunicazione. Prima del decorso di tale termine le offerte e i giustificativi dei primi cinque classificati sono messi reciprocamente a disposizione, con le modalità suindicate, nella versione oscurata.</w:t>
      </w:r>
    </w:p>
    <w:p w14:paraId="6782D690" w14:textId="77777777" w:rsidR="006E0EF5" w:rsidRPr="00C17CD7" w:rsidRDefault="006E0EF5" w:rsidP="006E0EF5">
      <w:pPr>
        <w:widowControl w:val="0"/>
        <w:spacing w:after="60" w:line="280" w:lineRule="exact"/>
        <w:rPr>
          <w:rFonts w:ascii="Titillium" w:hAnsi="Titillium" w:cs="Arial"/>
          <w:sz w:val="18"/>
          <w:szCs w:val="18"/>
          <w:lang w:eastAsia="it-IT"/>
        </w:rPr>
      </w:pPr>
      <w:r w:rsidRPr="00C17CD7">
        <w:rPr>
          <w:rFonts w:ascii="Titillium" w:hAnsi="Titillium" w:cs="Arial"/>
          <w:sz w:val="18"/>
          <w:szCs w:val="18"/>
          <w:lang w:eastAsia="it-IT"/>
        </w:rPr>
        <w:t>Decorso inutilmente il termine per l’impugnazione della decisione, è resa disponibile dell’offerta comprensiva delle parti ritenute non oscurabili.</w:t>
      </w:r>
    </w:p>
    <w:p w14:paraId="216E349F" w14:textId="77777777" w:rsidR="006E0EF5" w:rsidRPr="00C17CD7" w:rsidRDefault="006E0EF5" w:rsidP="006E0EF5">
      <w:pPr>
        <w:widowControl w:val="0"/>
        <w:spacing w:line="280" w:lineRule="exact"/>
        <w:rPr>
          <w:rFonts w:ascii="Titillium" w:hAnsi="Titillium"/>
          <w:sz w:val="18"/>
          <w:szCs w:val="18"/>
        </w:rPr>
      </w:pPr>
      <w:bookmarkStart w:id="2942" w:name="_Hlk196825636"/>
      <w:r w:rsidRPr="00522C10">
        <w:rPr>
          <w:rFonts w:ascii="Titillium" w:hAnsi="Titillium"/>
          <w:sz w:val="18"/>
          <w:szCs w:val="18"/>
        </w:rPr>
        <w:t>Trattandosi di procedura con applicazione dell’inversione procedimentale, la documentazione amministrativa che non ha formato oggetto di valutazione da parte della stazione appaltante non sarà messa a disposizione</w:t>
      </w:r>
      <w:bookmarkEnd w:id="2942"/>
      <w:r w:rsidRPr="00522C10">
        <w:rPr>
          <w:rFonts w:ascii="Titillium" w:hAnsi="Titillium"/>
          <w:sz w:val="18"/>
          <w:szCs w:val="18"/>
        </w:rPr>
        <w:t xml:space="preserve"> (T.A.R. Lombardia, IV, 29 ottobre 2025, n. 3459).</w:t>
      </w:r>
    </w:p>
    <w:p w14:paraId="1BE5773A" w14:textId="77777777" w:rsidR="006E0EF5" w:rsidRPr="00AF481C" w:rsidRDefault="006E0EF5" w:rsidP="006E0EF5">
      <w:pPr>
        <w:widowControl w:val="0"/>
        <w:spacing w:line="280" w:lineRule="exact"/>
        <w:rPr>
          <w:rFonts w:ascii="Titillium" w:hAnsi="Titillium"/>
          <w:sz w:val="18"/>
          <w:szCs w:val="18"/>
        </w:rPr>
      </w:pPr>
    </w:p>
    <w:p w14:paraId="4D1BC024" w14:textId="77777777" w:rsidR="006E0EF5" w:rsidRPr="00AF481C" w:rsidRDefault="006E0EF5" w:rsidP="006E0EF5">
      <w:pPr>
        <w:widowControl w:val="0"/>
        <w:spacing w:line="280" w:lineRule="exact"/>
        <w:rPr>
          <w:rFonts w:ascii="Titillium" w:hAnsi="Titillium"/>
          <w:sz w:val="18"/>
          <w:szCs w:val="18"/>
        </w:rPr>
      </w:pPr>
      <w:r w:rsidRPr="00AF481C">
        <w:rPr>
          <w:rFonts w:ascii="Titillium" w:hAnsi="Titillium"/>
          <w:sz w:val="18"/>
          <w:szCs w:val="18"/>
        </w:rPr>
        <w:t>Fatti salvi i casi di esclusione di cui all’articolo 35, comma 4, del codice, gli atti della procedura sono resi accessibili ai soggetti che presentino apposita istanza di accesso civico ai sensi dell’articolo 5 del decreto legislativo 14/3/2013, n. 33. L’esercizio del diritto di accesso è differito nei casi indicati al comma 2 dell’articolo 35 del codice.</w:t>
      </w:r>
    </w:p>
    <w:p w14:paraId="28F59E88" w14:textId="77777777" w:rsidR="004C53A8" w:rsidRDefault="00870286" w:rsidP="00A97C8F">
      <w:pPr>
        <w:pStyle w:val="Titolo2"/>
        <w:numPr>
          <w:ilvl w:val="0"/>
          <w:numId w:val="3"/>
        </w:numPr>
        <w:spacing w:before="240"/>
        <w:ind w:left="357" w:hanging="357"/>
      </w:pPr>
      <w:bookmarkStart w:id="2943" w:name="_Toc406058393"/>
      <w:bookmarkStart w:id="2944" w:name="_Toc403471285"/>
      <w:bookmarkStart w:id="2945" w:name="_Toc397422878"/>
      <w:bookmarkStart w:id="2946" w:name="_Toc397346837"/>
      <w:bookmarkStart w:id="2947" w:name="_Toc393706922"/>
      <w:bookmarkStart w:id="2948" w:name="_Toc393700849"/>
      <w:bookmarkStart w:id="2949" w:name="_Toc393283190"/>
      <w:bookmarkStart w:id="2950" w:name="_Toc393272674"/>
      <w:bookmarkStart w:id="2951" w:name="_Toc393272616"/>
      <w:bookmarkStart w:id="2952" w:name="_Toc393187860"/>
      <w:bookmarkStart w:id="2953" w:name="_Toc393112143"/>
      <w:bookmarkStart w:id="2954" w:name="_Toc393110579"/>
      <w:bookmarkStart w:id="2955" w:name="_Toc392577512"/>
      <w:bookmarkStart w:id="2956" w:name="_Toc391036071"/>
      <w:bookmarkStart w:id="2957" w:name="_Toc391035998"/>
      <w:bookmarkStart w:id="2958" w:name="_Toc380501885"/>
      <w:bookmarkStart w:id="2959" w:name="_Toc354038182"/>
      <w:bookmarkStart w:id="2960" w:name="_Toc416423377"/>
      <w:bookmarkStart w:id="2961" w:name="_Toc406754194"/>
      <w:bookmarkStart w:id="2962" w:name="_Toc89270320"/>
      <w:r>
        <w:rPr>
          <w:rFonts w:ascii="Titillium" w:hAnsi="Titillium"/>
          <w:sz w:val="18"/>
          <w:szCs w:val="18"/>
        </w:rPr>
        <w:t>DEFINIZIONE DELLE CONTROVERSIE</w:t>
      </w:r>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r>
        <w:rPr>
          <w:rFonts w:ascii="Titillium" w:hAnsi="Titillium"/>
          <w:sz w:val="18"/>
          <w:szCs w:val="18"/>
        </w:rPr>
        <w:t xml:space="preserve"> </w:t>
      </w:r>
    </w:p>
    <w:p w14:paraId="47C8C0F4" w14:textId="317BBE14" w:rsidR="008D4169" w:rsidRDefault="008D4169" w:rsidP="008D4169">
      <w:pPr>
        <w:pStyle w:val="Paragrafoelenco"/>
        <w:ind w:left="0"/>
        <w:rPr>
          <w:rFonts w:ascii="Titillium" w:eastAsia="Times New Roman" w:hAnsi="Titillium"/>
          <w:sz w:val="18"/>
          <w:szCs w:val="18"/>
        </w:rPr>
      </w:pPr>
      <w:bookmarkStart w:id="2963" w:name="_Toc406058394"/>
      <w:bookmarkStart w:id="2964" w:name="_Toc403471286"/>
      <w:bookmarkStart w:id="2965" w:name="_Toc397422879"/>
      <w:bookmarkStart w:id="2966" w:name="_Toc397346838"/>
      <w:bookmarkStart w:id="2967" w:name="_Toc393706923"/>
      <w:bookmarkStart w:id="2968" w:name="_Toc393700850"/>
      <w:bookmarkStart w:id="2969" w:name="_Toc393283191"/>
      <w:bookmarkStart w:id="2970" w:name="_Toc393272675"/>
      <w:bookmarkStart w:id="2971" w:name="_Toc393272617"/>
      <w:bookmarkStart w:id="2972" w:name="_Toc393187861"/>
      <w:bookmarkStart w:id="2973" w:name="_Toc393112144"/>
      <w:bookmarkStart w:id="2974" w:name="_Toc393110580"/>
      <w:bookmarkStart w:id="2975" w:name="_Toc392577513"/>
      <w:bookmarkStart w:id="2976" w:name="_Toc391036072"/>
      <w:bookmarkStart w:id="2977" w:name="_Toc391035999"/>
      <w:bookmarkStart w:id="2978" w:name="_Toc380501886"/>
      <w:bookmarkStart w:id="2979" w:name="_Toc354038183"/>
      <w:bookmarkStart w:id="2980" w:name="_Toc416423378"/>
      <w:bookmarkStart w:id="2981" w:name="_Toc406754195"/>
      <w:bookmarkStart w:id="2982" w:name="_Toc89270321"/>
      <w:r w:rsidRPr="008D4169">
        <w:rPr>
          <w:rFonts w:ascii="Titillium" w:eastAsia="Times New Roman" w:hAnsi="Titillium"/>
          <w:sz w:val="18"/>
          <w:szCs w:val="18"/>
        </w:rPr>
        <w:t>La definizione di tutte le eventuali controversie derivanti dall’esecuzione del contratto è devoluta all’autorità giudiziaria competente presso il Foro di Piacenza ed è esclusa la competenza arbitrale.</w:t>
      </w:r>
    </w:p>
    <w:p w14:paraId="7337DBA8" w14:textId="73AE9DC4" w:rsidR="008D4169" w:rsidRPr="008D4169" w:rsidRDefault="008D4169" w:rsidP="008D4169">
      <w:pPr>
        <w:pStyle w:val="Paragrafoelenco"/>
        <w:ind w:left="0"/>
        <w:rPr>
          <w:rFonts w:ascii="Titillium" w:eastAsia="Times New Roman" w:hAnsi="Titillium"/>
          <w:sz w:val="18"/>
          <w:szCs w:val="18"/>
        </w:rPr>
      </w:pPr>
      <w:r w:rsidRPr="008D4169">
        <w:rPr>
          <w:rFonts w:ascii="Titillium" w:eastAsia="Times New Roman" w:hAnsi="Titillium"/>
          <w:sz w:val="18"/>
          <w:szCs w:val="18"/>
        </w:rPr>
        <w:t>Si esclude la clausola compromissoria.</w:t>
      </w:r>
    </w:p>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p w14:paraId="2FF5A68E" w14:textId="41391FB5" w:rsidR="00516C64" w:rsidRDefault="00516C64" w:rsidP="2AD31751">
      <w:pPr>
        <w:pStyle w:val="Paragrafoelenco"/>
        <w:numPr>
          <w:ilvl w:val="0"/>
          <w:numId w:val="3"/>
        </w:numPr>
        <w:spacing w:before="240" w:after="120"/>
        <w:ind w:left="357" w:hanging="357"/>
        <w:rPr>
          <w:rFonts w:ascii="Titillium" w:hAnsi="Titillium"/>
          <w:b/>
          <w:bCs/>
          <w:caps/>
          <w:sz w:val="18"/>
          <w:szCs w:val="18"/>
          <w:lang w:val="en-US"/>
        </w:rPr>
      </w:pPr>
      <w:r w:rsidRPr="2AD31751">
        <w:rPr>
          <w:rFonts w:ascii="Titillium" w:hAnsi="Titillium"/>
          <w:b/>
          <w:bCs/>
          <w:caps/>
          <w:sz w:val="18"/>
          <w:szCs w:val="18"/>
          <w:lang w:val="en-US"/>
        </w:rPr>
        <w:t>Informativa ai sensi dell’art. 13 e 14 del Regolamento UE n. 2016/679</w:t>
      </w:r>
    </w:p>
    <w:p w14:paraId="57D329AB" w14:textId="77777777" w:rsidR="00221EA7" w:rsidRPr="00221EA7" w:rsidRDefault="00221EA7" w:rsidP="00221EA7">
      <w:pPr>
        <w:widowControl w:val="0"/>
        <w:spacing w:line="280" w:lineRule="exact"/>
        <w:rPr>
          <w:rFonts w:ascii="Titillium" w:hAnsi="Titillium"/>
          <w:sz w:val="18"/>
          <w:szCs w:val="18"/>
        </w:rPr>
      </w:pPr>
      <w:r w:rsidRPr="00221EA7">
        <w:rPr>
          <w:rFonts w:ascii="Titillium" w:hAnsi="Titillium"/>
          <w:sz w:val="18"/>
          <w:szCs w:val="18"/>
        </w:rPr>
        <w:t xml:space="preserve">Ai sensi dell’art. 13 e 14 del </w:t>
      </w:r>
      <w:bookmarkStart w:id="2983" w:name="_Hlk214009174"/>
      <w:r w:rsidRPr="00221EA7">
        <w:rPr>
          <w:rFonts w:ascii="Titillium" w:hAnsi="Titillium"/>
          <w:sz w:val="18"/>
          <w:szCs w:val="18"/>
        </w:rPr>
        <w:t xml:space="preserve">Regolamento UE n. 2016/679 Regolamento generale sulla protezione dei dati personali (GDPR), </w:t>
      </w:r>
      <w:bookmarkEnd w:id="2983"/>
      <w:r w:rsidRPr="00221EA7">
        <w:rPr>
          <w:rFonts w:ascii="Titillium" w:hAnsi="Titillium"/>
          <w:sz w:val="18"/>
          <w:szCs w:val="18"/>
        </w:rPr>
        <w:t>si forniscono le seguenti informazioni relative al trattamento dei dati personali raccolti.</w:t>
      </w:r>
    </w:p>
    <w:p w14:paraId="5AF27357" w14:textId="77777777" w:rsidR="00221EA7" w:rsidRPr="00221EA7" w:rsidRDefault="00221EA7" w:rsidP="00221EA7">
      <w:pPr>
        <w:widowControl w:val="0"/>
        <w:spacing w:line="280" w:lineRule="exact"/>
        <w:rPr>
          <w:rFonts w:ascii="Titillium" w:hAnsi="Titillium"/>
          <w:b/>
          <w:bCs/>
          <w:sz w:val="18"/>
          <w:szCs w:val="18"/>
        </w:rPr>
      </w:pPr>
      <w:r w:rsidRPr="00221EA7">
        <w:rPr>
          <w:rFonts w:ascii="Titillium" w:hAnsi="Titillium"/>
          <w:b/>
          <w:bCs/>
          <w:sz w:val="18"/>
          <w:szCs w:val="18"/>
        </w:rPr>
        <w:t>Titolare del trattamento</w:t>
      </w:r>
    </w:p>
    <w:p w14:paraId="223FB1DD" w14:textId="77777777" w:rsidR="00221EA7" w:rsidRPr="00221EA7" w:rsidRDefault="00221EA7" w:rsidP="00221EA7">
      <w:pPr>
        <w:widowControl w:val="0"/>
        <w:spacing w:line="280" w:lineRule="exact"/>
        <w:rPr>
          <w:rFonts w:ascii="Titillium" w:hAnsi="Titillium"/>
          <w:sz w:val="18"/>
          <w:szCs w:val="18"/>
        </w:rPr>
      </w:pPr>
      <w:r w:rsidRPr="00221EA7">
        <w:rPr>
          <w:rFonts w:ascii="Titillium" w:hAnsi="Titillium"/>
          <w:sz w:val="18"/>
          <w:szCs w:val="18"/>
        </w:rPr>
        <w:t xml:space="preserve">Il Titolare del trattamento è la Provincia di Piacenza, con sede in Piacenza, Corso Garibaldi, 50, cap. 29121, che può essere contattato ai seguenti recapiti: Tel. 0523/7951, indirizzo mail: </w:t>
      </w:r>
      <w:hyperlink r:id="rId27" w:history="1">
        <w:r w:rsidRPr="00221EA7">
          <w:rPr>
            <w:rFonts w:ascii="Titillium" w:hAnsi="Titillium"/>
            <w:sz w:val="18"/>
            <w:szCs w:val="18"/>
          </w:rPr>
          <w:t>provpc@provincia.pc.it</w:t>
        </w:r>
      </w:hyperlink>
      <w:r w:rsidRPr="00221EA7">
        <w:rPr>
          <w:rFonts w:ascii="Titillium" w:hAnsi="Titillium"/>
          <w:sz w:val="18"/>
          <w:szCs w:val="18"/>
        </w:rPr>
        <w:t xml:space="preserve"> indirizzo pec: </w:t>
      </w:r>
      <w:hyperlink r:id="rId28" w:history="1">
        <w:r w:rsidRPr="00221EA7">
          <w:rPr>
            <w:rFonts w:ascii="Titillium" w:hAnsi="Titillium"/>
            <w:sz w:val="18"/>
            <w:szCs w:val="18"/>
          </w:rPr>
          <w:t>provpc@cert.provincia.pc.it</w:t>
        </w:r>
      </w:hyperlink>
    </w:p>
    <w:p w14:paraId="00973C49" w14:textId="77777777" w:rsidR="00221EA7" w:rsidRPr="00221EA7" w:rsidRDefault="00221EA7" w:rsidP="00221EA7">
      <w:pPr>
        <w:widowControl w:val="0"/>
        <w:spacing w:line="280" w:lineRule="exact"/>
        <w:rPr>
          <w:rFonts w:ascii="Titillium" w:hAnsi="Titillium"/>
          <w:sz w:val="18"/>
          <w:szCs w:val="18"/>
        </w:rPr>
      </w:pPr>
      <w:r w:rsidRPr="00221EA7">
        <w:rPr>
          <w:rFonts w:ascii="Titillium" w:hAnsi="Titillium"/>
          <w:b/>
          <w:bCs/>
          <w:sz w:val="18"/>
          <w:szCs w:val="18"/>
        </w:rPr>
        <w:t>Responsabile della protezione dei dati personali</w:t>
      </w:r>
      <w:r w:rsidRPr="00221EA7">
        <w:rPr>
          <w:rFonts w:ascii="Titillium" w:hAnsi="Titillium"/>
          <w:sz w:val="18"/>
          <w:szCs w:val="18"/>
        </w:rPr>
        <w:t xml:space="preserve"> (RPD)</w:t>
      </w:r>
    </w:p>
    <w:p w14:paraId="44F07D8F" w14:textId="5F9E26AB" w:rsidR="00221EA7" w:rsidRPr="00221EA7" w:rsidRDefault="00221EA7" w:rsidP="00221EA7">
      <w:pPr>
        <w:widowControl w:val="0"/>
        <w:spacing w:line="280" w:lineRule="exact"/>
      </w:pPr>
      <w:r w:rsidRPr="00221EA7">
        <w:rPr>
          <w:rFonts w:ascii="Titillium" w:hAnsi="Titillium"/>
          <w:sz w:val="18"/>
          <w:szCs w:val="18"/>
        </w:rPr>
        <w:t xml:space="preserve">Il Titolare ha designato quale Responsabile della Protezione dei Dati la società SISTEMA SUSIO Srl, che può essere contattato ai seguenti recapiti: PEC </w:t>
      </w:r>
      <w:hyperlink r:id="rId29" w:history="1">
        <w:r w:rsidR="00543FA0" w:rsidRPr="003102E8">
          <w:rPr>
            <w:rStyle w:val="Collegamentoipertestuale"/>
            <w:rFonts w:ascii="Titillium" w:hAnsi="Titillium"/>
            <w:sz w:val="18"/>
            <w:szCs w:val="18"/>
          </w:rPr>
          <w:t>info@pec.sistemasusio.it</w:t>
        </w:r>
      </w:hyperlink>
      <w:r w:rsidRPr="00221EA7">
        <w:rPr>
          <w:rFonts w:ascii="Titillium" w:hAnsi="Titillium"/>
          <w:sz w:val="18"/>
          <w:szCs w:val="18"/>
        </w:rPr>
        <w:t xml:space="preserve"> E-mail: </w:t>
      </w:r>
      <w:r w:rsidR="00543FA0">
        <w:rPr>
          <w:rFonts w:ascii="Titillium" w:hAnsi="Titillium"/>
          <w:sz w:val="18"/>
          <w:szCs w:val="18"/>
        </w:rPr>
        <w:t xml:space="preserve"> </w:t>
      </w:r>
      <w:hyperlink r:id="rId30" w:history="1">
        <w:r w:rsidR="00543FA0" w:rsidRPr="003102E8">
          <w:rPr>
            <w:rStyle w:val="Collegamentoipertestuale"/>
            <w:rFonts w:ascii="Titillium" w:hAnsi="Titillium"/>
            <w:sz w:val="18"/>
            <w:szCs w:val="18"/>
          </w:rPr>
          <w:t>info@sistemasusio.it</w:t>
        </w:r>
      </w:hyperlink>
      <w:r w:rsidR="00543FA0">
        <w:t xml:space="preserve">  </w:t>
      </w:r>
    </w:p>
    <w:p w14:paraId="590DA3E7" w14:textId="74912141" w:rsidR="00221EA7" w:rsidRPr="00221EA7" w:rsidRDefault="00221EA7" w:rsidP="00221EA7">
      <w:pPr>
        <w:spacing w:before="60" w:after="60"/>
        <w:rPr>
          <w:rFonts w:ascii="Titillium" w:hAnsi="Titillium" w:cs="Calibri"/>
          <w:sz w:val="18"/>
          <w:szCs w:val="18"/>
          <w:lang w:eastAsia="it-IT"/>
        </w:rPr>
      </w:pPr>
      <w:r w:rsidRPr="00221EA7">
        <w:rPr>
          <w:rFonts w:ascii="Titillium" w:hAnsi="Titillium" w:cs="Calibri"/>
          <w:sz w:val="18"/>
          <w:szCs w:val="18"/>
          <w:lang w:eastAsia="it-IT"/>
        </w:rPr>
        <w:t xml:space="preserve">Il Titolare del trattamento dei dati personali è il Comune di </w:t>
      </w:r>
      <w:r w:rsidR="00AB362F">
        <w:rPr>
          <w:rFonts w:ascii="Titillium" w:hAnsi="Titillium" w:cs="Calibri"/>
          <w:sz w:val="18"/>
          <w:szCs w:val="18"/>
          <w:lang w:eastAsia="it-IT"/>
        </w:rPr>
        <w:t>Castel San Giovanni</w:t>
      </w:r>
      <w:r w:rsidR="00AB7A36" w:rsidRPr="00AB7A36">
        <w:rPr>
          <w:rFonts w:ascii="Titillium" w:hAnsi="Titillium" w:cs="Calibri"/>
          <w:sz w:val="18"/>
          <w:szCs w:val="18"/>
          <w:lang w:eastAsia="it-IT"/>
        </w:rPr>
        <w:t xml:space="preserve"> </w:t>
      </w:r>
      <w:r w:rsidR="00D5472D">
        <w:rPr>
          <w:rFonts w:ascii="Titillium" w:hAnsi="Titillium" w:cs="Calibri"/>
          <w:sz w:val="18"/>
          <w:szCs w:val="18"/>
          <w:lang w:eastAsia="it-IT"/>
        </w:rPr>
        <w:t>(PC).</w:t>
      </w:r>
      <w:r w:rsidRPr="00221EA7">
        <w:rPr>
          <w:rFonts w:ascii="Titillium" w:hAnsi="Titillium" w:cs="Calibri"/>
          <w:sz w:val="18"/>
          <w:szCs w:val="18"/>
          <w:lang w:eastAsia="it-IT"/>
        </w:rPr>
        <w:t xml:space="preserve"> </w:t>
      </w:r>
    </w:p>
    <w:p w14:paraId="237C99BD" w14:textId="77777777" w:rsidR="00A9499D" w:rsidRPr="00221EA7" w:rsidRDefault="00A9499D" w:rsidP="00A9499D">
      <w:pPr>
        <w:spacing w:before="60" w:after="60"/>
        <w:rPr>
          <w:rFonts w:ascii="Titillium" w:hAnsi="Titillium" w:cs="Calibri"/>
          <w:sz w:val="18"/>
          <w:szCs w:val="18"/>
          <w:lang w:eastAsia="it-IT"/>
        </w:rPr>
      </w:pPr>
      <w:r w:rsidRPr="00221EA7">
        <w:rPr>
          <w:rFonts w:ascii="Titillium" w:hAnsi="Titillium" w:cs="Calibri"/>
          <w:sz w:val="18"/>
          <w:szCs w:val="18"/>
          <w:lang w:eastAsia="it-IT"/>
        </w:rPr>
        <w:t xml:space="preserve">Responsabile della protezione dei dati personali (DPO) della presente procedura per il Comune di </w:t>
      </w:r>
      <w:r>
        <w:rPr>
          <w:rFonts w:ascii="Titillium" w:hAnsi="Titillium" w:cs="Calibri"/>
          <w:sz w:val="18"/>
          <w:szCs w:val="18"/>
          <w:lang w:eastAsia="it-IT"/>
        </w:rPr>
        <w:t xml:space="preserve">Castel San Giovanni </w:t>
      </w:r>
      <w:r w:rsidRPr="00221EA7">
        <w:rPr>
          <w:rFonts w:ascii="Titillium" w:hAnsi="Titillium" w:cs="Calibri"/>
          <w:sz w:val="18"/>
          <w:szCs w:val="18"/>
          <w:lang w:eastAsia="it-IT"/>
        </w:rPr>
        <w:t xml:space="preserve">è </w:t>
      </w:r>
      <w:r>
        <w:rPr>
          <w:rFonts w:ascii="Titillium" w:hAnsi="Titillium" w:cs="Calibri"/>
          <w:sz w:val="18"/>
          <w:szCs w:val="18"/>
          <w:lang w:eastAsia="it-IT"/>
        </w:rPr>
        <w:t xml:space="preserve">la </w:t>
      </w:r>
      <w:r w:rsidRPr="004C0A33">
        <w:rPr>
          <w:rFonts w:ascii="Titillium" w:hAnsi="Titillium" w:cs="Calibri"/>
          <w:sz w:val="18"/>
          <w:szCs w:val="18"/>
          <w:lang w:eastAsia="it-IT"/>
        </w:rPr>
        <w:t>dott.ssa Simona Persi reperibile al seguente indirizzo mail:</w:t>
      </w:r>
      <w:r>
        <w:rPr>
          <w:rFonts w:ascii="Titillium" w:hAnsi="Titillium" w:cs="Calibri"/>
          <w:sz w:val="18"/>
          <w:szCs w:val="18"/>
          <w:lang w:eastAsia="it-IT"/>
        </w:rPr>
        <w:t xml:space="preserve"> </w:t>
      </w:r>
      <w:hyperlink r:id="rId31" w:history="1">
        <w:r w:rsidRPr="00AB21BE">
          <w:rPr>
            <w:rStyle w:val="Collegamentoipertestuale"/>
            <w:rFonts w:ascii="Titillium" w:hAnsi="Titillium" w:cs="Calibri"/>
            <w:sz w:val="18"/>
            <w:szCs w:val="18"/>
            <w:lang w:eastAsia="it-IT"/>
          </w:rPr>
          <w:t>dpo@comune.castelsangiovanni.pc.it</w:t>
        </w:r>
      </w:hyperlink>
      <w:r>
        <w:rPr>
          <w:rFonts w:ascii="Titillium" w:hAnsi="Titillium" w:cs="Calibri"/>
          <w:sz w:val="18"/>
          <w:szCs w:val="18"/>
          <w:lang w:eastAsia="it-IT"/>
        </w:rPr>
        <w:t xml:space="preserve"> </w:t>
      </w:r>
      <w:r w:rsidRPr="004C0A33">
        <w:rPr>
          <w:rFonts w:ascii="Titillium" w:hAnsi="Titillium" w:cs="Calibri"/>
          <w:sz w:val="18"/>
          <w:szCs w:val="18"/>
          <w:lang w:eastAsia="it-IT"/>
        </w:rPr>
        <w:t>oppure al seguente numero 0523.889611.</w:t>
      </w:r>
    </w:p>
    <w:p w14:paraId="2038247F" w14:textId="77777777" w:rsidR="00221EA7" w:rsidRPr="00221EA7" w:rsidRDefault="00221EA7" w:rsidP="00221EA7">
      <w:pPr>
        <w:widowControl w:val="0"/>
        <w:spacing w:line="280" w:lineRule="exact"/>
        <w:rPr>
          <w:rFonts w:ascii="Titillium" w:hAnsi="Titillium"/>
          <w:b/>
          <w:bCs/>
          <w:sz w:val="18"/>
          <w:szCs w:val="18"/>
        </w:rPr>
      </w:pPr>
      <w:r w:rsidRPr="00221EA7">
        <w:rPr>
          <w:rFonts w:ascii="Titillium" w:hAnsi="Titillium"/>
          <w:b/>
          <w:bCs/>
          <w:sz w:val="18"/>
          <w:szCs w:val="18"/>
        </w:rPr>
        <w:t xml:space="preserve">Finalità </w:t>
      </w:r>
    </w:p>
    <w:p w14:paraId="24DCE618" w14:textId="77777777" w:rsidR="00221EA7" w:rsidRPr="00221EA7" w:rsidRDefault="00221EA7" w:rsidP="00221EA7">
      <w:pPr>
        <w:widowControl w:val="0"/>
        <w:spacing w:line="280" w:lineRule="exact"/>
        <w:rPr>
          <w:rFonts w:ascii="Titillium" w:hAnsi="Titillium"/>
          <w:sz w:val="18"/>
          <w:szCs w:val="18"/>
        </w:rPr>
      </w:pPr>
      <w:r w:rsidRPr="00221EA7">
        <w:rPr>
          <w:rFonts w:ascii="Titillium" w:hAnsi="Titillium"/>
          <w:sz w:val="18"/>
          <w:szCs w:val="18"/>
        </w:rPr>
        <w:t>I dati personali sono raccolti in funzione e per le finalità delle seguenti procedure:</w:t>
      </w:r>
    </w:p>
    <w:p w14:paraId="4973E4E9" w14:textId="77777777" w:rsidR="00221EA7" w:rsidRPr="00221EA7" w:rsidRDefault="00221EA7" w:rsidP="005D67CA">
      <w:pPr>
        <w:widowControl w:val="0"/>
        <w:numPr>
          <w:ilvl w:val="0"/>
          <w:numId w:val="49"/>
        </w:numPr>
        <w:spacing w:after="60" w:line="280" w:lineRule="exact"/>
        <w:contextualSpacing/>
        <w:rPr>
          <w:rFonts w:ascii="Titillium" w:hAnsi="Titillium"/>
          <w:sz w:val="18"/>
          <w:szCs w:val="18"/>
        </w:rPr>
      </w:pPr>
      <w:r w:rsidRPr="00221EA7">
        <w:rPr>
          <w:rFonts w:ascii="Titillium" w:hAnsi="Titillium"/>
          <w:sz w:val="18"/>
          <w:szCs w:val="18"/>
        </w:rPr>
        <w:t>per l’affidamento dell’appalto, di cui alla determinazione di apertura del procedimento, nonché, con riferimento all’aggiudicatario;</w:t>
      </w:r>
    </w:p>
    <w:p w14:paraId="7E218F57" w14:textId="77777777" w:rsidR="00221EA7" w:rsidRPr="00221EA7" w:rsidRDefault="00221EA7" w:rsidP="005D67CA">
      <w:pPr>
        <w:widowControl w:val="0"/>
        <w:numPr>
          <w:ilvl w:val="0"/>
          <w:numId w:val="49"/>
        </w:numPr>
        <w:spacing w:after="60" w:line="280" w:lineRule="exact"/>
        <w:contextualSpacing/>
        <w:rPr>
          <w:rFonts w:ascii="Titillium" w:hAnsi="Titillium"/>
          <w:sz w:val="18"/>
          <w:szCs w:val="18"/>
        </w:rPr>
      </w:pPr>
      <w:r w:rsidRPr="00221EA7">
        <w:rPr>
          <w:rFonts w:ascii="Titillium" w:hAnsi="Titillium"/>
          <w:sz w:val="18"/>
          <w:szCs w:val="18"/>
        </w:rPr>
        <w:lastRenderedPageBreak/>
        <w:t>per l’affidamento dell’incarico di prestazione professionale;</w:t>
      </w:r>
    </w:p>
    <w:p w14:paraId="6884EE7F" w14:textId="77777777" w:rsidR="00221EA7" w:rsidRPr="00221EA7" w:rsidRDefault="00221EA7" w:rsidP="005D67CA">
      <w:pPr>
        <w:widowControl w:val="0"/>
        <w:numPr>
          <w:ilvl w:val="0"/>
          <w:numId w:val="49"/>
        </w:numPr>
        <w:spacing w:after="60" w:line="280" w:lineRule="exact"/>
        <w:contextualSpacing/>
        <w:rPr>
          <w:rFonts w:ascii="Titillium" w:hAnsi="Titillium"/>
          <w:sz w:val="18"/>
          <w:szCs w:val="18"/>
        </w:rPr>
      </w:pPr>
      <w:r w:rsidRPr="00221EA7">
        <w:rPr>
          <w:rFonts w:ascii="Titillium" w:hAnsi="Titillium"/>
          <w:sz w:val="18"/>
          <w:szCs w:val="18"/>
        </w:rPr>
        <w:t>per la stipula e l’esecuzione del contratto di appalto o di prestazione professionale, con i connessi adempimenti.</w:t>
      </w:r>
    </w:p>
    <w:p w14:paraId="4EBE5B92" w14:textId="77777777" w:rsidR="00221EA7" w:rsidRPr="00221EA7" w:rsidRDefault="00221EA7" w:rsidP="00221EA7">
      <w:pPr>
        <w:widowControl w:val="0"/>
        <w:spacing w:line="280" w:lineRule="exact"/>
        <w:rPr>
          <w:rFonts w:ascii="Titillium" w:hAnsi="Titillium"/>
          <w:b/>
          <w:bCs/>
          <w:sz w:val="18"/>
          <w:szCs w:val="18"/>
        </w:rPr>
      </w:pPr>
      <w:r w:rsidRPr="00221EA7">
        <w:rPr>
          <w:rFonts w:ascii="Titillium" w:hAnsi="Titillium"/>
          <w:b/>
          <w:bCs/>
          <w:sz w:val="18"/>
          <w:szCs w:val="18"/>
        </w:rPr>
        <w:t>Base giuridica del trattamento</w:t>
      </w:r>
    </w:p>
    <w:p w14:paraId="77CBDD48" w14:textId="77777777" w:rsidR="00221EA7" w:rsidRPr="00221EA7" w:rsidRDefault="00221EA7" w:rsidP="00221EA7">
      <w:pPr>
        <w:widowControl w:val="0"/>
        <w:spacing w:line="280" w:lineRule="exact"/>
        <w:rPr>
          <w:rFonts w:ascii="Titillium" w:hAnsi="Titillium"/>
          <w:sz w:val="18"/>
          <w:szCs w:val="18"/>
        </w:rPr>
      </w:pPr>
      <w:r w:rsidRPr="00221EA7">
        <w:rPr>
          <w:rFonts w:ascii="Titillium" w:hAnsi="Titillium"/>
          <w:sz w:val="18"/>
          <w:szCs w:val="18"/>
        </w:rPr>
        <w:t>Il trattamento dei dati personali si fonda sulle seguenti basi giuridiche:</w:t>
      </w:r>
    </w:p>
    <w:p w14:paraId="62F50CEA" w14:textId="77777777" w:rsidR="00221EA7" w:rsidRPr="00221EA7" w:rsidRDefault="00221EA7" w:rsidP="005D67CA">
      <w:pPr>
        <w:widowControl w:val="0"/>
        <w:numPr>
          <w:ilvl w:val="0"/>
          <w:numId w:val="50"/>
        </w:numPr>
        <w:spacing w:after="60" w:line="280" w:lineRule="exact"/>
        <w:contextualSpacing/>
        <w:rPr>
          <w:rFonts w:ascii="Titillium" w:hAnsi="Titillium"/>
          <w:sz w:val="18"/>
          <w:szCs w:val="18"/>
        </w:rPr>
      </w:pPr>
      <w:r w:rsidRPr="00221EA7">
        <w:rPr>
          <w:rFonts w:ascii="Titillium" w:hAnsi="Titillium"/>
          <w:sz w:val="18"/>
          <w:szCs w:val="18"/>
        </w:rPr>
        <w:t>necessità del trattamento ai fini della stipula e dell'esecuzione del contratto, ovvero ai fini dell'esecuzione di misure precontrattuali adottate su richiesta dell’interessato (art. 6 par. 1 lett. b GDPR);</w:t>
      </w:r>
    </w:p>
    <w:p w14:paraId="6DFD4D4A" w14:textId="77777777" w:rsidR="00221EA7" w:rsidRPr="00221EA7" w:rsidRDefault="00221EA7" w:rsidP="005D67CA">
      <w:pPr>
        <w:widowControl w:val="0"/>
        <w:numPr>
          <w:ilvl w:val="0"/>
          <w:numId w:val="50"/>
        </w:numPr>
        <w:spacing w:after="60" w:line="280" w:lineRule="exact"/>
        <w:contextualSpacing/>
        <w:rPr>
          <w:rFonts w:ascii="Titillium" w:hAnsi="Titillium"/>
          <w:sz w:val="18"/>
          <w:szCs w:val="18"/>
        </w:rPr>
      </w:pPr>
      <w:r w:rsidRPr="00221EA7">
        <w:rPr>
          <w:rFonts w:ascii="Titillium" w:hAnsi="Titillium"/>
          <w:sz w:val="18"/>
          <w:szCs w:val="18"/>
        </w:rPr>
        <w:t>necessità del trattamento per adempiere obblighi giuridici a cui è soggetto il titolare del trattamento (art. 6 par. 1 lett. c GDPR); ad esempio, adempimento di obblighi di legge, regolamento o contratto, esecuzione di provvedimenti dell’autorità giudiziaria o amministrativa;</w:t>
      </w:r>
    </w:p>
    <w:p w14:paraId="298AF962" w14:textId="77777777" w:rsidR="00221EA7" w:rsidRPr="00221EA7" w:rsidRDefault="00221EA7" w:rsidP="005D67CA">
      <w:pPr>
        <w:widowControl w:val="0"/>
        <w:numPr>
          <w:ilvl w:val="0"/>
          <w:numId w:val="50"/>
        </w:numPr>
        <w:spacing w:after="60" w:line="280" w:lineRule="exact"/>
        <w:contextualSpacing/>
        <w:rPr>
          <w:rFonts w:ascii="Titillium" w:hAnsi="Titillium"/>
          <w:sz w:val="18"/>
          <w:szCs w:val="18"/>
        </w:rPr>
      </w:pPr>
      <w:r w:rsidRPr="00221EA7">
        <w:rPr>
          <w:rFonts w:ascii="Titillium" w:hAnsi="Titillium"/>
          <w:sz w:val="18"/>
          <w:szCs w:val="18"/>
        </w:rPr>
        <w:t>necessità del trattamento per l'esecuzione di un compito di interesse pubblico o connesso all'esercizio di pubblici poteri di cui è investito il titolare del trattamento; in particolare per la gestione della procedura ad evidenza pubblica finalizzata alla selezione del contraente (art. 6 par. 1 lett. e GDPR).</w:t>
      </w:r>
    </w:p>
    <w:p w14:paraId="538DF4D9" w14:textId="77777777" w:rsidR="00221EA7" w:rsidRPr="00221EA7" w:rsidRDefault="00221EA7" w:rsidP="00221EA7">
      <w:pPr>
        <w:widowControl w:val="0"/>
        <w:spacing w:line="280" w:lineRule="exact"/>
        <w:rPr>
          <w:rFonts w:ascii="Titillium" w:hAnsi="Titillium"/>
          <w:sz w:val="18"/>
          <w:szCs w:val="18"/>
        </w:rPr>
      </w:pPr>
      <w:r w:rsidRPr="00221EA7">
        <w:rPr>
          <w:rFonts w:ascii="Titillium" w:hAnsi="Titillium"/>
          <w:sz w:val="18"/>
          <w:szCs w:val="18"/>
        </w:rPr>
        <w:t>Il conferimento dei dati personali è dovuto in base alla vigente normativa, ed è altresì necessario ai fini della partecipazione alla procedura ad evidenza pubblica o di attribuzione dell’incarico nonché, eventualmente, ai fini della stipula, gestione ed esecuzione del contratto.</w:t>
      </w:r>
    </w:p>
    <w:p w14:paraId="07F71748" w14:textId="77777777" w:rsidR="00221EA7" w:rsidRPr="00221EA7" w:rsidRDefault="00221EA7" w:rsidP="00221EA7">
      <w:pPr>
        <w:widowControl w:val="0"/>
        <w:spacing w:line="280" w:lineRule="exact"/>
        <w:rPr>
          <w:rFonts w:ascii="Titillium" w:hAnsi="Titillium"/>
          <w:sz w:val="18"/>
          <w:szCs w:val="18"/>
        </w:rPr>
      </w:pPr>
      <w:r w:rsidRPr="00221EA7">
        <w:rPr>
          <w:rFonts w:ascii="Titillium" w:hAnsi="Titillium"/>
          <w:sz w:val="18"/>
          <w:szCs w:val="18"/>
        </w:rPr>
        <w:t>Il rifiuto di fornire i dati richiesti non consentirà la partecipazione alla procedura ad evidenza pubblica o di attribuzione dell’incarico, la stipula, gestione ed esecuzione del contratto, l’adempimento degli obblighi normativi gravanti sul Titolare del trattamento.</w:t>
      </w:r>
    </w:p>
    <w:p w14:paraId="2D44CE98" w14:textId="77777777" w:rsidR="00221EA7" w:rsidRPr="00221EA7" w:rsidRDefault="00221EA7" w:rsidP="00221EA7">
      <w:pPr>
        <w:widowControl w:val="0"/>
        <w:spacing w:line="280" w:lineRule="exact"/>
        <w:rPr>
          <w:rFonts w:ascii="Titillium" w:hAnsi="Titillium"/>
          <w:b/>
          <w:bCs/>
          <w:sz w:val="18"/>
          <w:szCs w:val="18"/>
        </w:rPr>
      </w:pPr>
      <w:r w:rsidRPr="00221EA7">
        <w:rPr>
          <w:rFonts w:ascii="Titillium" w:hAnsi="Titillium"/>
          <w:b/>
          <w:bCs/>
          <w:sz w:val="18"/>
          <w:szCs w:val="18"/>
        </w:rPr>
        <w:t>Modalità di trattamento</w:t>
      </w:r>
    </w:p>
    <w:p w14:paraId="43B661DA" w14:textId="77777777" w:rsidR="00221EA7" w:rsidRPr="00221EA7" w:rsidRDefault="00221EA7" w:rsidP="00221EA7">
      <w:pPr>
        <w:widowControl w:val="0"/>
        <w:spacing w:line="280" w:lineRule="exact"/>
        <w:rPr>
          <w:rFonts w:ascii="Titillium" w:hAnsi="Titillium"/>
          <w:sz w:val="18"/>
          <w:szCs w:val="18"/>
        </w:rPr>
      </w:pPr>
      <w:r w:rsidRPr="00221EA7">
        <w:rPr>
          <w:rFonts w:ascii="Titillium" w:hAnsi="Titillium"/>
          <w:sz w:val="18"/>
          <w:szCs w:val="18"/>
        </w:rPr>
        <w:t>Il trattamento dei dati personali si svolge nel rispetto dei diritti e delle libertà fondamentali degli interessati ed è improntato ai principi di correttezza, liceità, trasparenza e di tutela della riservatezza mediante strumenti e mezzi cartacei, informatici e telematici idonei, adottando misure di sicurezza tecniche e amministrative atte a ridurre il rischio di perdita, uso non corretto, accesso non autorizzato, divulgazione e manomissione dei dati. Il Titolare del trattamento non adotta alcun processo decisionale automatizzato, ivi compresa la profilazione cui all'art. 22, paragrafi 1 e 4, GDPR.</w:t>
      </w:r>
    </w:p>
    <w:p w14:paraId="46D4D0B8" w14:textId="77777777" w:rsidR="00221EA7" w:rsidRPr="00221EA7" w:rsidRDefault="00221EA7" w:rsidP="00221EA7">
      <w:pPr>
        <w:widowControl w:val="0"/>
        <w:spacing w:line="280" w:lineRule="exact"/>
        <w:rPr>
          <w:rFonts w:ascii="Titillium" w:hAnsi="Titillium"/>
          <w:b/>
          <w:bCs/>
          <w:sz w:val="18"/>
          <w:szCs w:val="18"/>
        </w:rPr>
      </w:pPr>
      <w:r w:rsidRPr="00221EA7">
        <w:rPr>
          <w:rFonts w:ascii="Titillium" w:hAnsi="Titillium"/>
          <w:b/>
          <w:bCs/>
          <w:sz w:val="18"/>
          <w:szCs w:val="18"/>
        </w:rPr>
        <w:t>Dati oggetto del trattamento</w:t>
      </w:r>
    </w:p>
    <w:p w14:paraId="6D580B97" w14:textId="77777777" w:rsidR="00221EA7" w:rsidRPr="00221EA7" w:rsidRDefault="00221EA7" w:rsidP="00221EA7">
      <w:pPr>
        <w:widowControl w:val="0"/>
        <w:spacing w:line="280" w:lineRule="exact"/>
        <w:rPr>
          <w:rFonts w:ascii="Titillium" w:hAnsi="Titillium"/>
          <w:sz w:val="18"/>
          <w:szCs w:val="18"/>
        </w:rPr>
      </w:pPr>
      <w:r w:rsidRPr="00221EA7">
        <w:rPr>
          <w:rFonts w:ascii="Titillium" w:hAnsi="Titillium"/>
          <w:sz w:val="18"/>
          <w:szCs w:val="18"/>
        </w:rPr>
        <w:t>Dati personali di persone fisiche oggetto di trattamento sono: nome e cognome, luogo e data di nascita, residenza / indirizzo, codice fiscale, e-mail, telefono, numero documento di identificazione, qualifiche professionali, CV, informazioni relativi al regime fiscale.</w:t>
      </w:r>
    </w:p>
    <w:p w14:paraId="65C19D82" w14:textId="77777777" w:rsidR="00221EA7" w:rsidRPr="00221EA7" w:rsidRDefault="00221EA7" w:rsidP="00221EA7">
      <w:pPr>
        <w:widowControl w:val="0"/>
        <w:spacing w:line="280" w:lineRule="exact"/>
        <w:rPr>
          <w:rFonts w:ascii="Titillium" w:hAnsi="Titillium"/>
          <w:sz w:val="18"/>
          <w:szCs w:val="18"/>
        </w:rPr>
      </w:pPr>
      <w:r w:rsidRPr="00221EA7">
        <w:rPr>
          <w:rFonts w:ascii="Titillium" w:hAnsi="Titillium"/>
          <w:sz w:val="18"/>
          <w:szCs w:val="18"/>
        </w:rPr>
        <w:t>Non sono oggetto di trattamento le particolari categorie di dati personali di cui all’art. 9 par. 1 GDPR. </w:t>
      </w:r>
      <w:r w:rsidRPr="00221EA7">
        <w:rPr>
          <w:rFonts w:ascii="Titillium" w:hAnsi="Titillium"/>
          <w:sz w:val="18"/>
          <w:szCs w:val="18"/>
        </w:rPr>
        <w:br/>
        <w:t>I dati giudiziari sono oggetto di trattamento ai fini della verifica dell’assenza di cause di esclusione ex art. 94 e 95 D. Lgs. n. 36/2023, in conformità alle previsioni di cui al codice appalti (D. Lgs. n. 36/2023) e al D.P.R. n. 445/2000.  Tali dati sono trattati solo nel caso di procedure di appalto.</w:t>
      </w:r>
    </w:p>
    <w:p w14:paraId="4FC47598" w14:textId="77777777" w:rsidR="00221EA7" w:rsidRPr="00221EA7" w:rsidRDefault="00221EA7" w:rsidP="00221EA7">
      <w:pPr>
        <w:widowControl w:val="0"/>
        <w:spacing w:line="280" w:lineRule="exact"/>
        <w:rPr>
          <w:rFonts w:ascii="Titillium" w:hAnsi="Titillium"/>
          <w:b/>
          <w:bCs/>
          <w:sz w:val="18"/>
          <w:szCs w:val="18"/>
        </w:rPr>
      </w:pPr>
      <w:r w:rsidRPr="00221EA7">
        <w:rPr>
          <w:rFonts w:ascii="Titillium" w:hAnsi="Titillium"/>
          <w:b/>
          <w:bCs/>
          <w:sz w:val="18"/>
          <w:szCs w:val="18"/>
        </w:rPr>
        <w:t>Destinatari dei dati</w:t>
      </w:r>
    </w:p>
    <w:p w14:paraId="3EE01B3D" w14:textId="77777777" w:rsidR="00221EA7" w:rsidRPr="00221EA7" w:rsidRDefault="00221EA7" w:rsidP="00221EA7">
      <w:pPr>
        <w:widowControl w:val="0"/>
        <w:spacing w:line="280" w:lineRule="exact"/>
        <w:rPr>
          <w:rFonts w:ascii="Titillium" w:hAnsi="Titillium"/>
          <w:sz w:val="18"/>
          <w:szCs w:val="18"/>
        </w:rPr>
      </w:pPr>
      <w:r w:rsidRPr="00221EA7">
        <w:rPr>
          <w:rFonts w:ascii="Titillium" w:hAnsi="Titillium"/>
          <w:sz w:val="18"/>
          <w:szCs w:val="18"/>
        </w:rPr>
        <w:t>I trattamenti sono effettuati a cura di persone autorizzate ed istruite dal Titolare alle attività necessarie alle finalità perseguite ed impegnate alla riservatezza. I dati possono essere comunicati dal Titolare ad altri soggetti pubblici e privati nei casi previsti da disposizioni di legge o di regolamento ai seguenti soggetti:</w:t>
      </w:r>
    </w:p>
    <w:p w14:paraId="3681D6E4" w14:textId="77777777" w:rsidR="00221EA7" w:rsidRPr="00221EA7" w:rsidRDefault="00221EA7" w:rsidP="005D67CA">
      <w:pPr>
        <w:widowControl w:val="0"/>
        <w:numPr>
          <w:ilvl w:val="0"/>
          <w:numId w:val="51"/>
        </w:numPr>
        <w:spacing w:after="60" w:line="280" w:lineRule="exact"/>
        <w:contextualSpacing/>
        <w:rPr>
          <w:rFonts w:ascii="Titillium" w:hAnsi="Titillium"/>
          <w:sz w:val="18"/>
          <w:szCs w:val="18"/>
        </w:rPr>
      </w:pPr>
      <w:r w:rsidRPr="00221EA7">
        <w:rPr>
          <w:rFonts w:ascii="Titillium" w:hAnsi="Titillium"/>
          <w:sz w:val="18"/>
          <w:szCs w:val="18"/>
        </w:rPr>
        <w:t>ai soggetti nominati dal Titolare del trattamento quali Responsabili ex art. 28 GDPR, in quanto fornitori dei servizi relativi al sito web, alla casella di posta ordinaria e certificata.</w:t>
      </w:r>
    </w:p>
    <w:p w14:paraId="2E1DB99A" w14:textId="77777777" w:rsidR="00221EA7" w:rsidRPr="00221EA7" w:rsidRDefault="00221EA7" w:rsidP="005D67CA">
      <w:pPr>
        <w:widowControl w:val="0"/>
        <w:numPr>
          <w:ilvl w:val="0"/>
          <w:numId w:val="51"/>
        </w:numPr>
        <w:spacing w:after="60" w:line="280" w:lineRule="exact"/>
        <w:contextualSpacing/>
        <w:rPr>
          <w:rFonts w:ascii="Titillium" w:hAnsi="Titillium"/>
          <w:sz w:val="18"/>
          <w:szCs w:val="18"/>
        </w:rPr>
      </w:pPr>
      <w:r w:rsidRPr="00221EA7">
        <w:rPr>
          <w:rFonts w:ascii="Titillium" w:hAnsi="Titillium"/>
          <w:sz w:val="18"/>
          <w:szCs w:val="18"/>
        </w:rPr>
        <w:t>all’Istituto di Credito Bancario per l’accredito dei corrispettivi spettanti all’appaltatore;</w:t>
      </w:r>
    </w:p>
    <w:p w14:paraId="45661B71" w14:textId="77777777" w:rsidR="00221EA7" w:rsidRPr="00221EA7" w:rsidRDefault="00221EA7" w:rsidP="005D67CA">
      <w:pPr>
        <w:widowControl w:val="0"/>
        <w:numPr>
          <w:ilvl w:val="0"/>
          <w:numId w:val="51"/>
        </w:numPr>
        <w:spacing w:after="60" w:line="280" w:lineRule="exact"/>
        <w:contextualSpacing/>
        <w:rPr>
          <w:rFonts w:ascii="Titillium" w:hAnsi="Titillium"/>
          <w:sz w:val="18"/>
          <w:szCs w:val="18"/>
        </w:rPr>
      </w:pPr>
      <w:r w:rsidRPr="00221EA7">
        <w:rPr>
          <w:rFonts w:ascii="Titillium" w:hAnsi="Titillium"/>
          <w:sz w:val="18"/>
          <w:szCs w:val="18"/>
        </w:rPr>
        <w:t>autorità per la vigilanza sui contratti pubblici di lavori, servizi e forniture, ai sensi dell’art. 1 comma 32 Legge n. 190/2012 per i contratti di appalto;</w:t>
      </w:r>
    </w:p>
    <w:p w14:paraId="7937975D" w14:textId="77777777" w:rsidR="00221EA7" w:rsidRPr="00221EA7" w:rsidRDefault="00221EA7" w:rsidP="005D67CA">
      <w:pPr>
        <w:widowControl w:val="0"/>
        <w:numPr>
          <w:ilvl w:val="0"/>
          <w:numId w:val="51"/>
        </w:numPr>
        <w:spacing w:after="60" w:line="280" w:lineRule="exact"/>
        <w:contextualSpacing/>
        <w:rPr>
          <w:rFonts w:ascii="Titillium" w:hAnsi="Titillium"/>
          <w:sz w:val="18"/>
          <w:szCs w:val="18"/>
        </w:rPr>
      </w:pPr>
      <w:r w:rsidRPr="00221EA7">
        <w:rPr>
          <w:rFonts w:ascii="Titillium" w:hAnsi="Titillium"/>
          <w:sz w:val="18"/>
          <w:szCs w:val="18"/>
        </w:rPr>
        <w:t>al Dipartimento della Funzione Pubblica presso la Presidenza del Consiglio per l’affidamento di incarichi professionali;</w:t>
      </w:r>
    </w:p>
    <w:p w14:paraId="64B6B867" w14:textId="77777777" w:rsidR="00221EA7" w:rsidRPr="00221EA7" w:rsidRDefault="00221EA7" w:rsidP="005D67CA">
      <w:pPr>
        <w:widowControl w:val="0"/>
        <w:numPr>
          <w:ilvl w:val="0"/>
          <w:numId w:val="51"/>
        </w:numPr>
        <w:spacing w:after="60" w:line="280" w:lineRule="exact"/>
        <w:contextualSpacing/>
        <w:rPr>
          <w:rFonts w:ascii="Titillium" w:hAnsi="Titillium"/>
          <w:sz w:val="18"/>
          <w:szCs w:val="18"/>
        </w:rPr>
      </w:pPr>
      <w:r w:rsidRPr="00221EA7">
        <w:rPr>
          <w:rFonts w:ascii="Titillium" w:hAnsi="Titillium"/>
          <w:sz w:val="18"/>
          <w:szCs w:val="18"/>
        </w:rPr>
        <w:t>autorità preposte alle attività ispettive e di verifica fiscale ed amministrativa;</w:t>
      </w:r>
    </w:p>
    <w:p w14:paraId="50CD3DBB" w14:textId="77777777" w:rsidR="00221EA7" w:rsidRPr="00221EA7" w:rsidRDefault="00221EA7" w:rsidP="005D67CA">
      <w:pPr>
        <w:widowControl w:val="0"/>
        <w:numPr>
          <w:ilvl w:val="0"/>
          <w:numId w:val="51"/>
        </w:numPr>
        <w:spacing w:after="60" w:line="280" w:lineRule="exact"/>
        <w:contextualSpacing/>
        <w:rPr>
          <w:rFonts w:ascii="Titillium" w:hAnsi="Titillium"/>
          <w:sz w:val="18"/>
          <w:szCs w:val="18"/>
        </w:rPr>
      </w:pPr>
      <w:r w:rsidRPr="00221EA7">
        <w:rPr>
          <w:rFonts w:ascii="Titillium" w:hAnsi="Titillium"/>
          <w:sz w:val="18"/>
          <w:szCs w:val="18"/>
        </w:rPr>
        <w:t>autorità giudiziaria o polizia giudiziaria, nei casi previsti dalla legge;</w:t>
      </w:r>
    </w:p>
    <w:p w14:paraId="6CC60181" w14:textId="77777777" w:rsidR="00221EA7" w:rsidRPr="00221EA7" w:rsidRDefault="00221EA7" w:rsidP="005D67CA">
      <w:pPr>
        <w:widowControl w:val="0"/>
        <w:numPr>
          <w:ilvl w:val="0"/>
          <w:numId w:val="51"/>
        </w:numPr>
        <w:spacing w:after="60" w:line="280" w:lineRule="exact"/>
        <w:contextualSpacing/>
        <w:rPr>
          <w:rFonts w:ascii="Titillium" w:hAnsi="Titillium"/>
          <w:sz w:val="18"/>
          <w:szCs w:val="18"/>
        </w:rPr>
      </w:pPr>
      <w:r w:rsidRPr="00221EA7">
        <w:rPr>
          <w:rFonts w:ascii="Titillium" w:hAnsi="Titillium"/>
          <w:sz w:val="18"/>
          <w:szCs w:val="18"/>
        </w:rPr>
        <w:t>ogni altro soggetto pubblico o privato nei casi previsti dal diritto dell’Unione o dello Stato italiano.</w:t>
      </w:r>
    </w:p>
    <w:p w14:paraId="03349226" w14:textId="77777777" w:rsidR="00221EA7" w:rsidRPr="00221EA7" w:rsidRDefault="00221EA7" w:rsidP="00221EA7">
      <w:pPr>
        <w:widowControl w:val="0"/>
        <w:spacing w:line="280" w:lineRule="exact"/>
        <w:rPr>
          <w:rFonts w:ascii="Titillium" w:hAnsi="Titillium"/>
          <w:sz w:val="18"/>
          <w:szCs w:val="18"/>
        </w:rPr>
      </w:pPr>
      <w:r w:rsidRPr="00221EA7">
        <w:rPr>
          <w:rFonts w:ascii="Titillium" w:hAnsi="Titillium"/>
          <w:sz w:val="18"/>
          <w:szCs w:val="18"/>
        </w:rPr>
        <w:t>La diffusione dei dati si limita alla pubblicazione sul sito web del Titolare del trattamento nella sezione "Amministrazione trasparente", dei dati richiesti dalla normativa in materia di Trasparenza ed Anticorruzione.</w:t>
      </w:r>
    </w:p>
    <w:p w14:paraId="12D77F05" w14:textId="77777777" w:rsidR="00221EA7" w:rsidRPr="00221EA7" w:rsidRDefault="00221EA7" w:rsidP="00221EA7">
      <w:pPr>
        <w:widowControl w:val="0"/>
        <w:spacing w:line="280" w:lineRule="exact"/>
        <w:rPr>
          <w:rFonts w:ascii="Titillium" w:hAnsi="Titillium"/>
          <w:b/>
          <w:bCs/>
          <w:sz w:val="18"/>
          <w:szCs w:val="18"/>
        </w:rPr>
      </w:pPr>
      <w:r w:rsidRPr="00221EA7">
        <w:rPr>
          <w:rFonts w:ascii="Titillium" w:hAnsi="Titillium"/>
          <w:b/>
          <w:bCs/>
          <w:sz w:val="18"/>
          <w:szCs w:val="18"/>
        </w:rPr>
        <w:t>Conservazione dei dati</w:t>
      </w:r>
    </w:p>
    <w:p w14:paraId="703093AB" w14:textId="77777777" w:rsidR="00221EA7" w:rsidRPr="00221EA7" w:rsidRDefault="00221EA7" w:rsidP="00221EA7">
      <w:pPr>
        <w:widowControl w:val="0"/>
        <w:spacing w:line="280" w:lineRule="exact"/>
        <w:rPr>
          <w:rFonts w:ascii="Titillium" w:hAnsi="Titillium"/>
          <w:sz w:val="18"/>
          <w:szCs w:val="18"/>
        </w:rPr>
      </w:pPr>
      <w:r w:rsidRPr="00221EA7">
        <w:rPr>
          <w:rFonts w:ascii="Titillium" w:hAnsi="Titillium"/>
          <w:sz w:val="18"/>
          <w:szCs w:val="18"/>
        </w:rPr>
        <w:lastRenderedPageBreak/>
        <w:t>I dati personali sono conservati per il tempo necessario a perseguire le finalità per cui sono raccolti, in conformità alle norme sulla conservazione della documentazione amministrativa.</w:t>
      </w:r>
    </w:p>
    <w:p w14:paraId="129E0873" w14:textId="77777777" w:rsidR="00221EA7" w:rsidRPr="00221EA7" w:rsidRDefault="00221EA7" w:rsidP="00221EA7">
      <w:pPr>
        <w:widowControl w:val="0"/>
        <w:spacing w:line="280" w:lineRule="exact"/>
        <w:rPr>
          <w:rFonts w:ascii="Titillium" w:hAnsi="Titillium"/>
          <w:b/>
          <w:bCs/>
          <w:sz w:val="18"/>
          <w:szCs w:val="18"/>
        </w:rPr>
      </w:pPr>
      <w:r w:rsidRPr="00221EA7">
        <w:rPr>
          <w:rFonts w:ascii="Titillium" w:hAnsi="Titillium"/>
          <w:b/>
          <w:bCs/>
          <w:sz w:val="18"/>
          <w:szCs w:val="18"/>
        </w:rPr>
        <w:t>Trasferimento dati verso paese terzi</w:t>
      </w:r>
    </w:p>
    <w:p w14:paraId="53B6EB09" w14:textId="77777777" w:rsidR="00221EA7" w:rsidRPr="00221EA7" w:rsidRDefault="00221EA7" w:rsidP="00221EA7">
      <w:pPr>
        <w:widowControl w:val="0"/>
        <w:spacing w:line="280" w:lineRule="exact"/>
        <w:rPr>
          <w:rFonts w:ascii="Titillium" w:hAnsi="Titillium"/>
          <w:sz w:val="18"/>
          <w:szCs w:val="18"/>
        </w:rPr>
      </w:pPr>
      <w:r w:rsidRPr="00221EA7">
        <w:rPr>
          <w:rFonts w:ascii="Titillium" w:hAnsi="Titillium"/>
          <w:sz w:val="18"/>
          <w:szCs w:val="18"/>
        </w:rPr>
        <w:t>I dati personali non sono trasferiti a paesi terzi all’esterno dell’Unione Europea o dello spazio economico europeo (SEE) o ad organizzazioni internazionali.</w:t>
      </w:r>
    </w:p>
    <w:p w14:paraId="2B638825" w14:textId="77777777" w:rsidR="00221EA7" w:rsidRPr="00221EA7" w:rsidRDefault="00221EA7" w:rsidP="00221EA7">
      <w:pPr>
        <w:widowControl w:val="0"/>
        <w:spacing w:line="280" w:lineRule="exact"/>
        <w:rPr>
          <w:rFonts w:ascii="Titillium" w:hAnsi="Titillium"/>
          <w:b/>
          <w:bCs/>
          <w:sz w:val="18"/>
          <w:szCs w:val="18"/>
        </w:rPr>
      </w:pPr>
      <w:r w:rsidRPr="00221EA7">
        <w:rPr>
          <w:rFonts w:ascii="Titillium" w:hAnsi="Titillium"/>
          <w:b/>
          <w:bCs/>
          <w:sz w:val="18"/>
          <w:szCs w:val="18"/>
        </w:rPr>
        <w:t>Diritti degli interessati</w:t>
      </w:r>
    </w:p>
    <w:p w14:paraId="246ABF0C" w14:textId="77777777" w:rsidR="00221EA7" w:rsidRPr="00221EA7" w:rsidRDefault="00221EA7" w:rsidP="00221EA7">
      <w:pPr>
        <w:widowControl w:val="0"/>
        <w:spacing w:line="280" w:lineRule="exact"/>
        <w:rPr>
          <w:rFonts w:ascii="Titillium" w:hAnsi="Titillium"/>
          <w:sz w:val="18"/>
          <w:szCs w:val="18"/>
        </w:rPr>
      </w:pPr>
      <w:r w:rsidRPr="00221EA7">
        <w:rPr>
          <w:rFonts w:ascii="Titillium" w:hAnsi="Titillium"/>
          <w:sz w:val="18"/>
          <w:szCs w:val="18"/>
        </w:rPr>
        <w:t>Gli interessati possono esercitare i diritti previsti dall’art. 15 e seguenti GDPR ed in particolare il diritto di accedere ai propri dati personali, di chiederne la rettifica o la limitazione, l’aggiornamento se incompleti o erronei e la cancellazione se sussistono i presupposti, nonché di opporsi al trattamento rivolgendo la richiesta al Titolare.</w:t>
      </w:r>
    </w:p>
    <w:p w14:paraId="3744C255" w14:textId="10754908" w:rsidR="00516C64" w:rsidRDefault="00221EA7" w:rsidP="00221EA7">
      <w:pPr>
        <w:rPr>
          <w:rFonts w:ascii="Titillium" w:hAnsi="Titillium"/>
          <w:sz w:val="18"/>
          <w:szCs w:val="18"/>
        </w:rPr>
      </w:pPr>
      <w:r w:rsidRPr="00221EA7">
        <w:rPr>
          <w:rFonts w:ascii="Titillium" w:hAnsi="Titillium"/>
          <w:sz w:val="18"/>
          <w:szCs w:val="18"/>
        </w:rPr>
        <w:t>Se l’interessato ritiene che il trattamento dei dati personali avvenga in violazione del GDPR, ha il diritto di proporre reclamo al Garante per la Protezione dei Dati Personali (www.gdpd.it) o di adire le opportune sedi giudiziarie</w:t>
      </w:r>
      <w:r w:rsidR="004B300A">
        <w:rPr>
          <w:rFonts w:ascii="Titillium" w:hAnsi="Titillium"/>
          <w:sz w:val="18"/>
          <w:szCs w:val="18"/>
        </w:rPr>
        <w:t>.</w:t>
      </w:r>
    </w:p>
    <w:p w14:paraId="78DFE4ED" w14:textId="77777777" w:rsidR="004B300A" w:rsidRDefault="004B300A" w:rsidP="00221EA7">
      <w:pPr>
        <w:rPr>
          <w:rFonts w:ascii="Titillium" w:hAnsi="Titillium"/>
          <w:sz w:val="18"/>
          <w:szCs w:val="18"/>
        </w:rPr>
      </w:pPr>
    </w:p>
    <w:p w14:paraId="68FFCF48" w14:textId="5F014EA1" w:rsidR="005B6AB6" w:rsidRPr="005B6AB6" w:rsidRDefault="005B6AB6" w:rsidP="005B6AB6">
      <w:pPr>
        <w:spacing w:after="120"/>
        <w:rPr>
          <w:rFonts w:ascii="Calibri" w:hAnsi="Calibri"/>
          <w:b/>
          <w:bCs/>
          <w:sz w:val="18"/>
          <w:szCs w:val="18"/>
        </w:rPr>
      </w:pPr>
      <w:r w:rsidRPr="005B6AB6">
        <w:rPr>
          <w:rFonts w:ascii="Calibri" w:hAnsi="Calibri"/>
          <w:b/>
          <w:bCs/>
          <w:sz w:val="18"/>
          <w:szCs w:val="18"/>
        </w:rPr>
        <w:t>30. DISPOSIZIONI FINALI</w:t>
      </w:r>
    </w:p>
    <w:p w14:paraId="38BFE921" w14:textId="77777777" w:rsidR="005B6AB6" w:rsidRPr="000D0F76" w:rsidRDefault="005B6AB6" w:rsidP="005B6AB6">
      <w:pPr>
        <w:rPr>
          <w:rFonts w:ascii="Titillium" w:hAnsi="Titillium"/>
          <w:sz w:val="18"/>
          <w:szCs w:val="18"/>
        </w:rPr>
      </w:pPr>
      <w:r w:rsidRPr="000D0F76">
        <w:rPr>
          <w:rFonts w:ascii="Titillium" w:hAnsi="Titillium"/>
          <w:sz w:val="18"/>
          <w:szCs w:val="18"/>
        </w:rPr>
        <w:t>Si esclude la clausola compromissoria. Per tutto quanto non espressamente previsto nel presente bando e Bando-Disciplinare di gara trovano applicazione le norme del Codice dei contratti pubblici e le altre norme legislative e regolamentari vigenti in materia.</w:t>
      </w:r>
    </w:p>
    <w:p w14:paraId="355F6703" w14:textId="77777777" w:rsidR="005B6AB6" w:rsidRPr="000D0F76" w:rsidRDefault="005B6AB6" w:rsidP="000D0F76">
      <w:pPr>
        <w:rPr>
          <w:rFonts w:ascii="Titillium" w:hAnsi="Titillium"/>
          <w:sz w:val="18"/>
          <w:szCs w:val="18"/>
        </w:rPr>
      </w:pPr>
      <w:r w:rsidRPr="000D0F76">
        <w:rPr>
          <w:rFonts w:ascii="Titillium" w:hAnsi="Titillium"/>
          <w:sz w:val="18"/>
          <w:szCs w:val="18"/>
        </w:rPr>
        <w:t xml:space="preserve">L'appalto rientra nell'ambito di applicazione dell'AAP. </w:t>
      </w:r>
    </w:p>
    <w:p w14:paraId="3BC53DAC" w14:textId="77777777" w:rsidR="004B300A" w:rsidRPr="00221EA7" w:rsidRDefault="004B300A" w:rsidP="004B300A">
      <w:pPr>
        <w:widowControl w:val="0"/>
        <w:spacing w:line="280" w:lineRule="exact"/>
        <w:rPr>
          <w:rFonts w:ascii="Titillium" w:hAnsi="Titillium"/>
          <w:b/>
          <w:bCs/>
          <w:sz w:val="18"/>
          <w:szCs w:val="18"/>
        </w:rPr>
      </w:pPr>
    </w:p>
    <w:p w14:paraId="7D9F5D07" w14:textId="77777777" w:rsidR="004B300A" w:rsidRPr="00503FC5" w:rsidRDefault="004B300A" w:rsidP="00221EA7">
      <w:pPr>
        <w:rPr>
          <w:rFonts w:asciiTheme="minorHAnsi" w:hAnsiTheme="minorHAnsi" w:cstheme="minorHAnsi"/>
          <w:sz w:val="20"/>
          <w:szCs w:val="20"/>
        </w:rPr>
      </w:pPr>
    </w:p>
    <w:sectPr w:rsidR="004B300A" w:rsidRPr="00503FC5">
      <w:headerReference w:type="default" r:id="rId32"/>
      <w:footerReference w:type="default" r:id="rId33"/>
      <w:pgSz w:w="11906" w:h="16838"/>
      <w:pgMar w:top="1418" w:right="1136" w:bottom="680" w:left="1550" w:header="851" w:footer="454"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15B26" w14:textId="77777777" w:rsidR="00EC51E8" w:rsidRDefault="00EC51E8">
      <w:pPr>
        <w:spacing w:line="240" w:lineRule="auto"/>
      </w:pPr>
      <w:r>
        <w:separator/>
      </w:r>
    </w:p>
  </w:endnote>
  <w:endnote w:type="continuationSeparator" w:id="0">
    <w:p w14:paraId="794FCA57" w14:textId="77777777" w:rsidR="00EC51E8" w:rsidRDefault="00EC51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tilium">
    <w:altName w:val="Times New Roman"/>
    <w:charset w:val="01"/>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tillium">
    <w:altName w:val="Calibri"/>
    <w:panose1 w:val="00000000000000000000"/>
    <w:charset w:val="00"/>
    <w:family w:val="modern"/>
    <w:notTrueType/>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0">
    <w:panose1 w:val="00000000000000000000"/>
    <w:charset w:val="00"/>
    <w:family w:val="roman"/>
    <w:notTrueType/>
    <w:pitch w:val="default"/>
  </w:font>
  <w:font w:name="Gotham Light">
    <w:altName w:val="Cambria"/>
    <w:panose1 w:val="00000000000000000000"/>
    <w:charset w:val="00"/>
    <w:family w:val="modern"/>
    <w:notTrueType/>
    <w:pitch w:val="variable"/>
    <w:sig w:usb0="A00000AF" w:usb1="50000048" w:usb2="00000000" w:usb3="00000000" w:csb0="00000111" w:csb1="00000000"/>
  </w:font>
  <w:font w:name="Gotham Book">
    <w:altName w:val="Cambria"/>
    <w:panose1 w:val="00000000000000000000"/>
    <w:charset w:val="00"/>
    <w:family w:val="modern"/>
    <w:notTrueType/>
    <w:pitch w:val="variable"/>
    <w:sig w:usb0="A00000AF" w:usb1="50000048" w:usb2="00000000" w:usb3="00000000" w:csb0="00000111" w:csb1="00000000"/>
  </w:font>
  <w:font w:name="Times New Roman (Corpo CS)">
    <w:panose1 w:val="00000000000000000000"/>
    <w:charset w:val="00"/>
    <w:family w:val="roman"/>
    <w:notTrueType/>
    <w:pitch w:val="default"/>
  </w:font>
  <w:font w:name="Gotham Medium">
    <w:charset w:val="00"/>
    <w:family w:val="auto"/>
    <w:pitch w:val="variable"/>
    <w:sig w:usb0="800000AF" w:usb1="40000048" w:usb2="00000000" w:usb3="00000000" w:csb0="0000011B" w:csb1="00000000"/>
  </w:font>
  <w:font w:name="Minion Pro">
    <w:altName w:val="Cambria"/>
    <w:panose1 w:val="00000000000000000000"/>
    <w:charset w:val="00"/>
    <w:family w:val="roman"/>
    <w:notTrueType/>
    <w:pitch w:val="variable"/>
    <w:sig w:usb0="60000287" w:usb1="00000001" w:usb2="00000000" w:usb3="00000000" w:csb0="0000019F" w:csb1="00000000"/>
  </w:font>
  <w:font w:name="OpenSymbol">
    <w:altName w:val="Calibri"/>
    <w:panose1 w:val="05010000000000000000"/>
    <w:charset w:val="00"/>
    <w:family w:val="auto"/>
    <w:pitch w:val="variable"/>
    <w:sig w:usb0="800000AF" w:usb1="1001ECEA" w:usb2="00000000" w:usb3="00000000" w:csb0="80000001" w:csb1="00000000"/>
  </w:font>
  <w:font w:name="Lucida Sans">
    <w:panose1 w:val="020B0602030504020204"/>
    <w:charset w:val="00"/>
    <w:family w:val="swiss"/>
    <w:pitch w:val="variable"/>
    <w:sig w:usb0="00000003" w:usb1="00000000" w:usb2="00000000" w:usb3="00000000" w:csb0="00000001" w:csb1="00000000"/>
  </w:font>
  <w:font w:name="Book-Antiqua,Bold">
    <w:altName w:val="Cambria"/>
    <w:panose1 w:val="00000000000000000000"/>
    <w:charset w:val="00"/>
    <w:family w:val="swiss"/>
    <w:notTrueType/>
    <w:pitch w:val="default"/>
    <w:sig w:usb0="00000003" w:usb1="00000000" w:usb2="00000000" w:usb3="00000000" w:csb0="00000001" w:csb1="00000000"/>
  </w:font>
  <w:font w:name="EUAlbertina">
    <w:charset w:val="00"/>
    <w:family w:val="roman"/>
    <w:pitch w:val="variable"/>
  </w:font>
  <w:font w:name="Liberation Mono">
    <w:altName w:val="Courier New"/>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Titillium Web">
    <w:charset w:val="00"/>
    <w:family w:val="auto"/>
    <w:pitch w:val="variable"/>
    <w:sig w:usb0="00000007" w:usb1="00000001" w:usb2="00000000" w:usb3="00000000" w:csb0="00000093" w:csb1="00000000"/>
  </w:font>
  <w:font w:name="CIDFont+F3">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4B4F0" w14:textId="1921553A" w:rsidR="00D30680" w:rsidRDefault="00D30680">
    <w:pPr>
      <w:pStyle w:val="Pidipagina"/>
      <w:spacing w:after="100"/>
      <w:jc w:val="right"/>
    </w:pPr>
    <w:r>
      <w:rPr>
        <w:rFonts w:ascii="Titillium" w:hAnsi="Titillium"/>
        <w:sz w:val="16"/>
        <w:szCs w:val="16"/>
        <w:lang w:val="it-IT"/>
      </w:rPr>
      <w:t xml:space="preserve">Pag. </w:t>
    </w:r>
    <w:r>
      <w:rPr>
        <w:rFonts w:ascii="Titillium" w:hAnsi="Titillium"/>
        <w:b/>
        <w:bCs/>
        <w:sz w:val="16"/>
        <w:szCs w:val="16"/>
      </w:rPr>
      <w:fldChar w:fldCharType="begin"/>
    </w:r>
    <w:r>
      <w:rPr>
        <w:rFonts w:ascii="Titillium" w:hAnsi="Titillium"/>
        <w:b/>
        <w:bCs/>
        <w:sz w:val="16"/>
        <w:szCs w:val="16"/>
      </w:rPr>
      <w:instrText>PAGE</w:instrText>
    </w:r>
    <w:r>
      <w:rPr>
        <w:rFonts w:ascii="Titillium" w:hAnsi="Titillium"/>
        <w:b/>
        <w:bCs/>
        <w:sz w:val="16"/>
        <w:szCs w:val="16"/>
      </w:rPr>
      <w:fldChar w:fldCharType="separate"/>
    </w:r>
    <w:r>
      <w:rPr>
        <w:rFonts w:ascii="Titillium" w:hAnsi="Titillium"/>
        <w:b/>
        <w:bCs/>
        <w:noProof/>
        <w:sz w:val="16"/>
        <w:szCs w:val="16"/>
      </w:rPr>
      <w:t>30</w:t>
    </w:r>
    <w:r>
      <w:rPr>
        <w:rFonts w:ascii="Titillium" w:hAnsi="Titillium"/>
        <w:b/>
        <w:bCs/>
        <w:sz w:val="16"/>
        <w:szCs w:val="16"/>
      </w:rPr>
      <w:fldChar w:fldCharType="end"/>
    </w:r>
    <w:r>
      <w:rPr>
        <w:rFonts w:ascii="Titillium" w:hAnsi="Titillium"/>
        <w:sz w:val="16"/>
        <w:szCs w:val="16"/>
        <w:lang w:val="it-IT"/>
      </w:rPr>
      <w:t xml:space="preserve"> a </w:t>
    </w:r>
    <w:r>
      <w:rPr>
        <w:rFonts w:ascii="Titillium" w:hAnsi="Titillium"/>
        <w:b/>
        <w:bCs/>
        <w:sz w:val="16"/>
        <w:szCs w:val="16"/>
      </w:rPr>
      <w:fldChar w:fldCharType="begin"/>
    </w:r>
    <w:r>
      <w:rPr>
        <w:rFonts w:ascii="Titillium" w:hAnsi="Titillium"/>
        <w:b/>
        <w:bCs/>
        <w:sz w:val="16"/>
        <w:szCs w:val="16"/>
      </w:rPr>
      <w:instrText>NUMPAGES</w:instrText>
    </w:r>
    <w:r>
      <w:rPr>
        <w:rFonts w:ascii="Titillium" w:hAnsi="Titillium"/>
        <w:b/>
        <w:bCs/>
        <w:sz w:val="16"/>
        <w:szCs w:val="16"/>
      </w:rPr>
      <w:fldChar w:fldCharType="separate"/>
    </w:r>
    <w:r>
      <w:rPr>
        <w:rFonts w:ascii="Titillium" w:hAnsi="Titillium"/>
        <w:b/>
        <w:bCs/>
        <w:noProof/>
        <w:sz w:val="16"/>
        <w:szCs w:val="16"/>
      </w:rPr>
      <w:t>32</w:t>
    </w:r>
    <w:r>
      <w:rPr>
        <w:rFonts w:ascii="Titillium" w:hAnsi="Titillium"/>
        <w:b/>
        <w:bCs/>
        <w:sz w:val="16"/>
        <w:szCs w:val="16"/>
      </w:rPr>
      <w:fldChar w:fldCharType="end"/>
    </w:r>
  </w:p>
  <w:p w14:paraId="23F23858" w14:textId="77777777" w:rsidR="00D30680" w:rsidRDefault="00D30680"/>
  <w:p w14:paraId="291EC279" w14:textId="77777777" w:rsidR="00D30680" w:rsidRDefault="00D306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7FE0A" w14:textId="77777777" w:rsidR="00EC51E8" w:rsidRDefault="00EC51E8"/>
  </w:footnote>
  <w:footnote w:type="continuationSeparator" w:id="0">
    <w:p w14:paraId="4A8A037E" w14:textId="77777777" w:rsidR="00EC51E8" w:rsidRDefault="00EC5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7B243" w14:textId="585817C3" w:rsidR="00D30680" w:rsidRDefault="00D30680" w:rsidP="00E8116C">
    <w:pPr>
      <w:tabs>
        <w:tab w:val="left" w:pos="284"/>
        <w:tab w:val="left" w:pos="567"/>
        <w:tab w:val="left" w:pos="708"/>
        <w:tab w:val="left" w:pos="851"/>
        <w:tab w:val="left" w:pos="1134"/>
        <w:tab w:val="left" w:pos="1418"/>
        <w:tab w:val="left" w:pos="2124"/>
        <w:tab w:val="right" w:pos="2268"/>
        <w:tab w:val="left" w:pos="2835"/>
        <w:tab w:val="left" w:pos="3540"/>
        <w:tab w:val="left" w:pos="4248"/>
        <w:tab w:val="center" w:pos="4819"/>
        <w:tab w:val="left" w:pos="4956"/>
        <w:tab w:val="left" w:pos="5664"/>
        <w:tab w:val="left" w:pos="6265"/>
        <w:tab w:val="right" w:pos="9638"/>
        <w:tab w:val="right" w:pos="10348"/>
      </w:tabs>
      <w:spacing w:line="240" w:lineRule="auto"/>
      <w:ind w:left="1560" w:right="142"/>
      <w:jc w:val="left"/>
    </w:pPr>
  </w:p>
  <w:p w14:paraId="10AF8B9D" w14:textId="77777777" w:rsidR="00D30680" w:rsidRDefault="00D30680"/>
  <w:p w14:paraId="6DC671D3" w14:textId="77777777" w:rsidR="00D30680" w:rsidRDefault="00D306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7BA7"/>
    <w:multiLevelType w:val="hybridMultilevel"/>
    <w:tmpl w:val="E36437F6"/>
    <w:lvl w:ilvl="0" w:tplc="FFFFFFFF">
      <w:start w:val="1"/>
      <w:numFmt w:val="decimal"/>
      <w:lvlText w:val="%1."/>
      <w:lvlJc w:val="left"/>
      <w:pPr>
        <w:ind w:left="615" w:hanging="355"/>
      </w:pPr>
      <w:rPr>
        <w:rFonts w:ascii="Verdana" w:eastAsia="Arial" w:hAnsi="Verdana" w:cs="Arial" w:hint="default"/>
        <w:b w:val="0"/>
        <w:bCs w:val="0"/>
        <w:i w:val="0"/>
        <w:iCs w:val="0"/>
        <w:spacing w:val="-1"/>
        <w:w w:val="100"/>
        <w:sz w:val="18"/>
        <w:szCs w:val="18"/>
        <w:lang w:val="it-IT" w:eastAsia="en-US" w:bidi="ar-SA"/>
      </w:rPr>
    </w:lvl>
    <w:lvl w:ilvl="1" w:tplc="FFFFFFFF">
      <w:start w:val="1"/>
      <w:numFmt w:val="lowerLetter"/>
      <w:lvlText w:val="%2)"/>
      <w:lvlJc w:val="left"/>
      <w:pPr>
        <w:ind w:left="1030" w:hanging="383"/>
      </w:pPr>
      <w:rPr>
        <w:rFonts w:ascii="Arial" w:eastAsia="Arial" w:hAnsi="Arial" w:cs="Arial" w:hint="default"/>
        <w:b w:val="0"/>
        <w:bCs w:val="0"/>
        <w:i w:val="0"/>
        <w:iCs w:val="0"/>
        <w:spacing w:val="-1"/>
        <w:w w:val="100"/>
        <w:sz w:val="20"/>
        <w:szCs w:val="20"/>
        <w:lang w:val="it-IT" w:eastAsia="en-US" w:bidi="ar-SA"/>
      </w:rPr>
    </w:lvl>
    <w:lvl w:ilvl="2" w:tplc="FFFFFFFF">
      <w:numFmt w:val="bullet"/>
      <w:lvlText w:val="•"/>
      <w:lvlJc w:val="left"/>
      <w:pPr>
        <w:ind w:left="2051" w:hanging="383"/>
      </w:pPr>
      <w:rPr>
        <w:rFonts w:hint="default"/>
        <w:lang w:val="it-IT" w:eastAsia="en-US" w:bidi="ar-SA"/>
      </w:rPr>
    </w:lvl>
    <w:lvl w:ilvl="3" w:tplc="FFFFFFFF">
      <w:numFmt w:val="bullet"/>
      <w:lvlText w:val="•"/>
      <w:lvlJc w:val="left"/>
      <w:pPr>
        <w:ind w:left="3063" w:hanging="383"/>
      </w:pPr>
      <w:rPr>
        <w:rFonts w:hint="default"/>
        <w:lang w:val="it-IT" w:eastAsia="en-US" w:bidi="ar-SA"/>
      </w:rPr>
    </w:lvl>
    <w:lvl w:ilvl="4" w:tplc="FFFFFFFF">
      <w:numFmt w:val="bullet"/>
      <w:lvlText w:val="•"/>
      <w:lvlJc w:val="left"/>
      <w:pPr>
        <w:ind w:left="4075" w:hanging="383"/>
      </w:pPr>
      <w:rPr>
        <w:rFonts w:hint="default"/>
        <w:lang w:val="it-IT" w:eastAsia="en-US" w:bidi="ar-SA"/>
      </w:rPr>
    </w:lvl>
    <w:lvl w:ilvl="5" w:tplc="FFFFFFFF">
      <w:numFmt w:val="bullet"/>
      <w:lvlText w:val="•"/>
      <w:lvlJc w:val="left"/>
      <w:pPr>
        <w:ind w:left="5086" w:hanging="383"/>
      </w:pPr>
      <w:rPr>
        <w:rFonts w:hint="default"/>
        <w:lang w:val="it-IT" w:eastAsia="en-US" w:bidi="ar-SA"/>
      </w:rPr>
    </w:lvl>
    <w:lvl w:ilvl="6" w:tplc="FFFFFFFF">
      <w:numFmt w:val="bullet"/>
      <w:lvlText w:val="•"/>
      <w:lvlJc w:val="left"/>
      <w:pPr>
        <w:ind w:left="6098" w:hanging="383"/>
      </w:pPr>
      <w:rPr>
        <w:rFonts w:hint="default"/>
        <w:lang w:val="it-IT" w:eastAsia="en-US" w:bidi="ar-SA"/>
      </w:rPr>
    </w:lvl>
    <w:lvl w:ilvl="7" w:tplc="FFFFFFFF">
      <w:numFmt w:val="bullet"/>
      <w:lvlText w:val="•"/>
      <w:lvlJc w:val="left"/>
      <w:pPr>
        <w:ind w:left="7110" w:hanging="383"/>
      </w:pPr>
      <w:rPr>
        <w:rFonts w:hint="default"/>
        <w:lang w:val="it-IT" w:eastAsia="en-US" w:bidi="ar-SA"/>
      </w:rPr>
    </w:lvl>
    <w:lvl w:ilvl="8" w:tplc="FFFFFFFF">
      <w:numFmt w:val="bullet"/>
      <w:lvlText w:val="•"/>
      <w:lvlJc w:val="left"/>
      <w:pPr>
        <w:ind w:left="8121" w:hanging="383"/>
      </w:pPr>
      <w:rPr>
        <w:rFonts w:hint="default"/>
        <w:lang w:val="it-IT" w:eastAsia="en-US" w:bidi="ar-SA"/>
      </w:rPr>
    </w:lvl>
  </w:abstractNum>
  <w:abstractNum w:abstractNumId="1" w15:restartNumberingAfterBreak="0">
    <w:nsid w:val="02A8108E"/>
    <w:multiLevelType w:val="hybridMultilevel"/>
    <w:tmpl w:val="7D4E89B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4F13583"/>
    <w:multiLevelType w:val="multilevel"/>
    <w:tmpl w:val="25AEF6D0"/>
    <w:lvl w:ilvl="0">
      <w:start w:val="1"/>
      <w:numFmt w:val="bullet"/>
      <w:lvlText w:val="-"/>
      <w:lvlJc w:val="left"/>
      <w:pPr>
        <w:ind w:left="360" w:hanging="360"/>
      </w:pPr>
      <w:rPr>
        <w:rFonts w:ascii="Titilium" w:hAnsi="Titilium" w:cs="Calibri" w:hint="default"/>
        <w:color w:val="auto"/>
        <w:sz w:val="18"/>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05C87D03"/>
    <w:multiLevelType w:val="multilevel"/>
    <w:tmpl w:val="68784434"/>
    <w:lvl w:ilvl="0">
      <w:start w:val="1"/>
      <w:numFmt w:val="lowerLetter"/>
      <w:lvlText w:val="%1."/>
      <w:lvlJc w:val="left"/>
      <w:pPr>
        <w:ind w:left="1429" w:hanging="360"/>
      </w:pPr>
      <w:rPr>
        <w:sz w:val="18"/>
        <w:szCs w:val="18"/>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 w15:restartNumberingAfterBreak="0">
    <w:nsid w:val="06BE6697"/>
    <w:multiLevelType w:val="hybridMultilevel"/>
    <w:tmpl w:val="431CDE2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77414FC"/>
    <w:multiLevelType w:val="multilevel"/>
    <w:tmpl w:val="6620351E"/>
    <w:lvl w:ilvl="0">
      <w:start w:val="1"/>
      <w:numFmt w:val="decimal"/>
      <w:lvlText w:val="%1."/>
      <w:lvlJc w:val="left"/>
      <w:pPr>
        <w:ind w:left="360" w:hanging="360"/>
      </w:pPr>
    </w:lvl>
    <w:lvl w:ilvl="1">
      <w:start w:val="1"/>
      <w:numFmt w:val="lowerLetter"/>
      <w:lvlText w:val="%1.%2)"/>
      <w:lvlJc w:val="left"/>
      <w:pPr>
        <w:ind w:left="792" w:hanging="432"/>
      </w:pPr>
    </w:lvl>
    <w:lvl w:ilvl="2">
      <w:start w:val="1"/>
      <w:numFmt w:val="decimal"/>
      <w:lvlText w:val="%1.%2.%3."/>
      <w:lvlJc w:val="left"/>
      <w:pPr>
        <w:ind w:left="1497" w:hanging="504"/>
      </w:pPr>
      <w:rPr>
        <w:b w:val="0"/>
        <w:i w:val="0"/>
        <w:strike w:val="0"/>
        <w:dstrike w:val="0"/>
        <w:sz w:val="24"/>
        <w:szCs w:val="24"/>
      </w:rPr>
    </w:lvl>
    <w:lvl w:ilvl="3">
      <w:start w:val="1"/>
      <w:numFmt w:val="lowerLetter"/>
      <w:lvlText w:val="%4."/>
      <w:lvlJc w:val="left"/>
      <w:pPr>
        <w:ind w:left="932" w:hanging="648"/>
      </w:pPr>
      <w:rPr>
        <w:b w:val="0"/>
        <w:strike w:val="0"/>
        <w:dstrike w:val="0"/>
        <w:color w:val="auto"/>
        <w:sz w:val="18"/>
        <w:szCs w:val="18"/>
      </w:rPr>
    </w:lvl>
    <w:lvl w:ilvl="4">
      <w:start w:val="1"/>
      <w:numFmt w:val="decimal"/>
      <w:lvlText w:val="%1.%2.%3.%4.%5."/>
      <w:lvlJc w:val="left"/>
      <w:pPr>
        <w:ind w:left="2069"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87223BF"/>
    <w:multiLevelType w:val="multilevel"/>
    <w:tmpl w:val="F9F8420A"/>
    <w:styleLink w:val="WW8Num4"/>
    <w:lvl w:ilvl="0">
      <w:numFmt w:val="bullet"/>
      <w:lvlText w:val="-"/>
      <w:lvlJc w:val="left"/>
      <w:pPr>
        <w:ind w:left="720" w:hanging="360"/>
      </w:pPr>
      <w:rPr>
        <w:rFonts w:ascii="Tahoma" w:hAnsi="Tahoma" w:cs="Tahoma"/>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A406D1D"/>
    <w:multiLevelType w:val="multilevel"/>
    <w:tmpl w:val="A5760A80"/>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0FA97078"/>
    <w:multiLevelType w:val="hybridMultilevel"/>
    <w:tmpl w:val="F9222D9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06A5DF0"/>
    <w:multiLevelType w:val="multilevel"/>
    <w:tmpl w:val="E46A5AB0"/>
    <w:lvl w:ilvl="0">
      <w:start w:val="1"/>
      <w:numFmt w:val="decimal"/>
      <w:lvlText w:val="%1."/>
      <w:lvlJc w:val="left"/>
      <w:pPr>
        <w:ind w:left="360" w:hanging="360"/>
      </w:pPr>
      <w:rPr>
        <w:rFonts w:ascii="Titillium" w:hAnsi="Titillium" w:hint="default"/>
        <w:b/>
        <w:i w:val="0"/>
        <w:sz w:val="18"/>
        <w:szCs w:val="18"/>
      </w:rPr>
    </w:lvl>
    <w:lvl w:ilvl="1">
      <w:start w:val="1"/>
      <w:numFmt w:val="decimal"/>
      <w:lvlText w:val="%1.%2"/>
      <w:lvlJc w:val="left"/>
      <w:pPr>
        <w:ind w:left="720" w:hanging="720"/>
      </w:pPr>
      <w:rPr>
        <w:rFonts w:ascii="Titillium" w:hAnsi="Titillium" w:hint="default"/>
        <w:sz w:val="18"/>
        <w:szCs w:val="18"/>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15:restartNumberingAfterBreak="0">
    <w:nsid w:val="137E0DE8"/>
    <w:multiLevelType w:val="hybridMultilevel"/>
    <w:tmpl w:val="44DABC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39C061D"/>
    <w:multiLevelType w:val="multilevel"/>
    <w:tmpl w:val="B6124C90"/>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lowerLetter"/>
      <w:lvlText w:val="%3)"/>
      <w:lvlJc w:val="left"/>
      <w:pPr>
        <w:ind w:left="360" w:hanging="360"/>
      </w:pPr>
      <w:rPr>
        <w:rFonts w:ascii="Titillium" w:hAnsi="Titillium" w:hint="default"/>
        <w:sz w:val="18"/>
        <w:szCs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160C11DD"/>
    <w:multiLevelType w:val="multilevel"/>
    <w:tmpl w:val="DF22E0F8"/>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16CC452D"/>
    <w:multiLevelType w:val="hybridMultilevel"/>
    <w:tmpl w:val="0E3A02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7652095"/>
    <w:multiLevelType w:val="hybridMultilevel"/>
    <w:tmpl w:val="614029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8732279"/>
    <w:multiLevelType w:val="multilevel"/>
    <w:tmpl w:val="FA76456A"/>
    <w:lvl w:ilvl="0">
      <w:start w:val="1"/>
      <w:numFmt w:val="lowerRoman"/>
      <w:lvlText w:val="%1."/>
      <w:lvlJc w:val="right"/>
      <w:pPr>
        <w:ind w:left="1637" w:hanging="360"/>
      </w:pPr>
      <w:rPr>
        <w:rFonts w:hint="default"/>
        <w:color w:val="000000" w:themeColor="text1"/>
        <w:sz w:val="18"/>
        <w:szCs w:val="18"/>
      </w:rPr>
    </w:lvl>
    <w:lvl w:ilvl="1">
      <w:start w:val="1"/>
      <w:numFmt w:val="lowerLetter"/>
      <w:lvlText w:val="%2."/>
      <w:lvlJc w:val="left"/>
      <w:pPr>
        <w:ind w:left="2961" w:hanging="360"/>
      </w:pPr>
    </w:lvl>
    <w:lvl w:ilvl="2">
      <w:start w:val="1"/>
      <w:numFmt w:val="lowerRoman"/>
      <w:lvlText w:val="%3."/>
      <w:lvlJc w:val="right"/>
      <w:pPr>
        <w:ind w:left="3681" w:hanging="180"/>
      </w:pPr>
    </w:lvl>
    <w:lvl w:ilvl="3">
      <w:start w:val="1"/>
      <w:numFmt w:val="decimal"/>
      <w:lvlText w:val="%4."/>
      <w:lvlJc w:val="left"/>
      <w:pPr>
        <w:ind w:left="4401" w:hanging="360"/>
      </w:pPr>
    </w:lvl>
    <w:lvl w:ilvl="4">
      <w:start w:val="1"/>
      <w:numFmt w:val="lowerLetter"/>
      <w:lvlText w:val="%5."/>
      <w:lvlJc w:val="left"/>
      <w:pPr>
        <w:ind w:left="5121" w:hanging="360"/>
      </w:pPr>
    </w:lvl>
    <w:lvl w:ilvl="5">
      <w:start w:val="1"/>
      <w:numFmt w:val="lowerRoman"/>
      <w:lvlText w:val="%6."/>
      <w:lvlJc w:val="right"/>
      <w:pPr>
        <w:ind w:left="5841" w:hanging="180"/>
      </w:pPr>
    </w:lvl>
    <w:lvl w:ilvl="6">
      <w:start w:val="1"/>
      <w:numFmt w:val="decimal"/>
      <w:lvlText w:val="%7."/>
      <w:lvlJc w:val="left"/>
      <w:pPr>
        <w:ind w:left="6561" w:hanging="360"/>
      </w:pPr>
    </w:lvl>
    <w:lvl w:ilvl="7">
      <w:start w:val="1"/>
      <w:numFmt w:val="lowerLetter"/>
      <w:lvlText w:val="%8."/>
      <w:lvlJc w:val="left"/>
      <w:pPr>
        <w:ind w:left="7281" w:hanging="360"/>
      </w:pPr>
    </w:lvl>
    <w:lvl w:ilvl="8">
      <w:start w:val="1"/>
      <w:numFmt w:val="lowerRoman"/>
      <w:lvlText w:val="%9."/>
      <w:lvlJc w:val="right"/>
      <w:pPr>
        <w:ind w:left="8001" w:hanging="180"/>
      </w:pPr>
    </w:lvl>
  </w:abstractNum>
  <w:abstractNum w:abstractNumId="16" w15:restartNumberingAfterBreak="0">
    <w:nsid w:val="188A2400"/>
    <w:multiLevelType w:val="multilevel"/>
    <w:tmpl w:val="4F02613C"/>
    <w:lvl w:ilvl="0">
      <w:start w:val="1"/>
      <w:numFmt w:val="bullet"/>
      <w:lvlText w:val=""/>
      <w:lvlJc w:val="left"/>
      <w:pPr>
        <w:ind w:left="502" w:hanging="360"/>
      </w:pPr>
      <w:rPr>
        <w:rFonts w:ascii="Symbol" w:hAnsi="Symbol" w:hint="default"/>
        <w:b/>
        <w:i w:val="0"/>
        <w:sz w:val="18"/>
        <w:szCs w:val="18"/>
      </w:rPr>
    </w:lvl>
    <w:lvl w:ilvl="1">
      <w:start w:val="1"/>
      <w:numFmt w:val="decimal"/>
      <w:lvlText w:val="%1.%2"/>
      <w:lvlJc w:val="left"/>
      <w:pPr>
        <w:ind w:left="6249" w:hanging="720"/>
      </w:pPr>
      <w:rPr>
        <w:rFonts w:ascii="Titillium" w:hAnsi="Titillium" w:hint="default"/>
        <w:sz w:val="18"/>
        <w:szCs w:val="18"/>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15:restartNumberingAfterBreak="0">
    <w:nsid w:val="18926034"/>
    <w:multiLevelType w:val="multilevel"/>
    <w:tmpl w:val="E962E83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1A560CFB"/>
    <w:multiLevelType w:val="multilevel"/>
    <w:tmpl w:val="7C22826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o"/>
      <w:lvlJc w:val="left"/>
      <w:pPr>
        <w:ind w:left="3600" w:hanging="360"/>
      </w:pPr>
      <w:rPr>
        <w:rFonts w:ascii="Courier New" w:hAnsi="Courier New" w:cs="Wingdings" w:hint="default"/>
      </w:rPr>
    </w:lvl>
    <w:lvl w:ilvl="3">
      <w:start w:val="1"/>
      <w:numFmt w:val="bullet"/>
      <w:lvlText w:val="o"/>
      <w:lvlJc w:val="left"/>
      <w:pPr>
        <w:ind w:left="5760" w:hanging="360"/>
      </w:pPr>
      <w:rPr>
        <w:rFonts w:ascii="Courier New" w:hAnsi="Courier New"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1BCA55D7"/>
    <w:multiLevelType w:val="multilevel"/>
    <w:tmpl w:val="AE3014D4"/>
    <w:lvl w:ilvl="0">
      <w:start w:val="1"/>
      <w:numFmt w:val="bullet"/>
      <w:lvlText w:val="-"/>
      <w:lvlJc w:val="left"/>
      <w:pPr>
        <w:tabs>
          <w:tab w:val="num" w:pos="0"/>
        </w:tabs>
        <w:ind w:left="720" w:hanging="360"/>
      </w:pPr>
      <w:rPr>
        <w:rFonts w:ascii="Garamond" w:hAnsi="Garamond" w:cs="Garamond" w:hint="default"/>
        <w:b/>
        <w:i w:val="0"/>
        <w:sz w:val="18"/>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22537744"/>
    <w:multiLevelType w:val="multilevel"/>
    <w:tmpl w:val="FA7E523A"/>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2C6383F"/>
    <w:multiLevelType w:val="hybridMultilevel"/>
    <w:tmpl w:val="D77C3254"/>
    <w:lvl w:ilvl="0" w:tplc="0410000B">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27842837"/>
    <w:multiLevelType w:val="multilevel"/>
    <w:tmpl w:val="69E4F03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8395F5C"/>
    <w:multiLevelType w:val="hybridMultilevel"/>
    <w:tmpl w:val="3ECA17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2EDF5FEF"/>
    <w:multiLevelType w:val="multilevel"/>
    <w:tmpl w:val="0E86AAAC"/>
    <w:lvl w:ilvl="0">
      <w:start w:val="1"/>
      <w:numFmt w:val="lowerLetter"/>
      <w:lvlText w:val="%1)"/>
      <w:lvlJc w:val="left"/>
      <w:pPr>
        <w:ind w:left="720" w:hanging="360"/>
      </w:pPr>
      <w:rPr>
        <w:rFonts w:ascii="Titillium" w:hAnsi="Titillium"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5611AFF"/>
    <w:multiLevelType w:val="multilevel"/>
    <w:tmpl w:val="B13237EC"/>
    <w:lvl w:ilvl="0">
      <w:start w:val="1"/>
      <w:numFmt w:val="decimal"/>
      <w:pStyle w:val="Titolo2"/>
      <w:lvlText w:val="%1."/>
      <w:lvlJc w:val="left"/>
      <w:pPr>
        <w:ind w:left="360" w:hanging="360"/>
      </w:pPr>
      <w:rPr>
        <w:b/>
        <w:i w:val="0"/>
        <w:sz w:val="18"/>
      </w:rPr>
    </w:lvl>
    <w:lvl w:ilvl="1">
      <w:start w:val="1"/>
      <w:numFmt w:val="decimal"/>
      <w:pStyle w:val="Titolo3"/>
      <w:lvlText w:val="%1.%2"/>
      <w:lvlJc w:val="left"/>
      <w:pPr>
        <w:ind w:left="720" w:hanging="72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15:restartNumberingAfterBreak="0">
    <w:nsid w:val="359715AC"/>
    <w:multiLevelType w:val="multilevel"/>
    <w:tmpl w:val="255EFC9C"/>
    <w:lvl w:ilvl="0">
      <w:start w:val="1"/>
      <w:numFmt w:val="decimal"/>
      <w:lvlText w:val="%1."/>
      <w:lvlJc w:val="left"/>
      <w:pPr>
        <w:ind w:left="720" w:hanging="360"/>
      </w:pPr>
    </w:lvl>
    <w:lvl w:ilvl="1">
      <w:start w:val="1"/>
      <w:numFmt w:val="bullet"/>
      <w:lvlText w:val="-"/>
      <w:lvlJc w:val="left"/>
      <w:pPr>
        <w:ind w:left="1440" w:hanging="360"/>
      </w:pPr>
      <w:rPr>
        <w:rFonts w:ascii="Titilium" w:hAnsi="Titilium" w:cs="Calibri" w:hint="default"/>
        <w:color w:val="auto"/>
        <w:sz w:val="18"/>
      </w:rPr>
    </w:lvl>
    <w:lvl w:ilvl="2">
      <w:start w:val="1"/>
      <w:numFmt w:val="lowerLetter"/>
      <w:lvlText w:val="%3)"/>
      <w:lvlJc w:val="left"/>
      <w:pPr>
        <w:ind w:left="360" w:hanging="360"/>
      </w:pPr>
      <w:rPr>
        <w:rFonts w:eastAsia="Times New Roman"/>
        <w:i w:val="0"/>
        <w:color w:val="auto"/>
        <w:sz w:val="18"/>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AB26B52"/>
    <w:multiLevelType w:val="multilevel"/>
    <w:tmpl w:val="F4D4199A"/>
    <w:lvl w:ilvl="0">
      <w:start w:val="1"/>
      <w:numFmt w:val="decimal"/>
      <w:lvlText w:val="%1."/>
      <w:lvlJc w:val="left"/>
      <w:pPr>
        <w:tabs>
          <w:tab w:val="num" w:pos="0"/>
        </w:tabs>
        <w:ind w:left="720" w:hanging="360"/>
      </w:pPr>
    </w:lvl>
    <w:lvl w:ilvl="1">
      <w:start w:val="1"/>
      <w:numFmt w:val="bullet"/>
      <w:lvlText w:val="-"/>
      <w:lvlJc w:val="left"/>
      <w:pPr>
        <w:tabs>
          <w:tab w:val="num" w:pos="0"/>
        </w:tabs>
        <w:ind w:left="1440" w:hanging="360"/>
      </w:pPr>
      <w:rPr>
        <w:rFonts w:ascii="Titilium" w:hAnsi="Titilium" w:cs="Titilium" w:hint="default"/>
      </w:rPr>
    </w:lvl>
    <w:lvl w:ilvl="2">
      <w:start w:val="1"/>
      <w:numFmt w:val="lowerLetter"/>
      <w:lvlText w:val="%3)"/>
      <w:lvlJc w:val="left"/>
      <w:pPr>
        <w:tabs>
          <w:tab w:val="num" w:pos="0"/>
        </w:tabs>
        <w:ind w:left="360" w:hanging="360"/>
      </w:pPr>
      <w:rPr>
        <w:sz w:val="18"/>
        <w:szCs w:val="18"/>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3BCA740A"/>
    <w:multiLevelType w:val="hybridMultilevel"/>
    <w:tmpl w:val="32A419AE"/>
    <w:lvl w:ilvl="0" w:tplc="04100001">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CC047B8"/>
    <w:multiLevelType w:val="hybridMultilevel"/>
    <w:tmpl w:val="2A86D01E"/>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1" w15:restartNumberingAfterBreak="0">
    <w:nsid w:val="40D55E48"/>
    <w:multiLevelType w:val="hybridMultilevel"/>
    <w:tmpl w:val="63EE030A"/>
    <w:lvl w:ilvl="0" w:tplc="04100017">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432B0BFD"/>
    <w:multiLevelType w:val="multilevel"/>
    <w:tmpl w:val="48601A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34737E2"/>
    <w:multiLevelType w:val="hybridMultilevel"/>
    <w:tmpl w:val="1F1A7FAE"/>
    <w:lvl w:ilvl="0" w:tplc="CB26261E">
      <w:numFmt w:val="bullet"/>
      <w:lvlText w:val=""/>
      <w:lvlJc w:val="left"/>
      <w:pPr>
        <w:ind w:left="609" w:hanging="299"/>
      </w:pPr>
      <w:rPr>
        <w:rFonts w:ascii="Symbol" w:eastAsia="Symbol" w:hAnsi="Symbol" w:cs="Symbol" w:hint="default"/>
        <w:w w:val="96"/>
        <w:sz w:val="20"/>
        <w:szCs w:val="20"/>
        <w:lang w:val="it-IT" w:eastAsia="en-US" w:bidi="ar-SA"/>
      </w:rPr>
    </w:lvl>
    <w:lvl w:ilvl="1" w:tplc="DAC2D168">
      <w:numFmt w:val="bullet"/>
      <w:lvlText w:val="•"/>
      <w:lvlJc w:val="left"/>
      <w:pPr>
        <w:ind w:left="1530" w:hanging="299"/>
      </w:pPr>
      <w:rPr>
        <w:rFonts w:hint="default"/>
        <w:lang w:val="it-IT" w:eastAsia="en-US" w:bidi="ar-SA"/>
      </w:rPr>
    </w:lvl>
    <w:lvl w:ilvl="2" w:tplc="301C190E">
      <w:numFmt w:val="bullet"/>
      <w:lvlText w:val="•"/>
      <w:lvlJc w:val="left"/>
      <w:pPr>
        <w:ind w:left="2460" w:hanging="299"/>
      </w:pPr>
      <w:rPr>
        <w:rFonts w:hint="default"/>
        <w:lang w:val="it-IT" w:eastAsia="en-US" w:bidi="ar-SA"/>
      </w:rPr>
    </w:lvl>
    <w:lvl w:ilvl="3" w:tplc="76AC4398">
      <w:numFmt w:val="bullet"/>
      <w:lvlText w:val="•"/>
      <w:lvlJc w:val="left"/>
      <w:pPr>
        <w:ind w:left="3391" w:hanging="299"/>
      </w:pPr>
      <w:rPr>
        <w:rFonts w:hint="default"/>
        <w:lang w:val="it-IT" w:eastAsia="en-US" w:bidi="ar-SA"/>
      </w:rPr>
    </w:lvl>
    <w:lvl w:ilvl="4" w:tplc="915CFA20">
      <w:numFmt w:val="bullet"/>
      <w:lvlText w:val="•"/>
      <w:lvlJc w:val="left"/>
      <w:pPr>
        <w:ind w:left="4321" w:hanging="299"/>
      </w:pPr>
      <w:rPr>
        <w:rFonts w:hint="default"/>
        <w:lang w:val="it-IT" w:eastAsia="en-US" w:bidi="ar-SA"/>
      </w:rPr>
    </w:lvl>
    <w:lvl w:ilvl="5" w:tplc="53822906">
      <w:numFmt w:val="bullet"/>
      <w:lvlText w:val="•"/>
      <w:lvlJc w:val="left"/>
      <w:pPr>
        <w:ind w:left="5252" w:hanging="299"/>
      </w:pPr>
      <w:rPr>
        <w:rFonts w:hint="default"/>
        <w:lang w:val="it-IT" w:eastAsia="en-US" w:bidi="ar-SA"/>
      </w:rPr>
    </w:lvl>
    <w:lvl w:ilvl="6" w:tplc="0E3451CC">
      <w:numFmt w:val="bullet"/>
      <w:lvlText w:val="•"/>
      <w:lvlJc w:val="left"/>
      <w:pPr>
        <w:ind w:left="6182" w:hanging="299"/>
      </w:pPr>
      <w:rPr>
        <w:rFonts w:hint="default"/>
        <w:lang w:val="it-IT" w:eastAsia="en-US" w:bidi="ar-SA"/>
      </w:rPr>
    </w:lvl>
    <w:lvl w:ilvl="7" w:tplc="5180F106">
      <w:numFmt w:val="bullet"/>
      <w:lvlText w:val="•"/>
      <w:lvlJc w:val="left"/>
      <w:pPr>
        <w:ind w:left="7112" w:hanging="299"/>
      </w:pPr>
      <w:rPr>
        <w:rFonts w:hint="default"/>
        <w:lang w:val="it-IT" w:eastAsia="en-US" w:bidi="ar-SA"/>
      </w:rPr>
    </w:lvl>
    <w:lvl w:ilvl="8" w:tplc="2BD857D2">
      <w:numFmt w:val="bullet"/>
      <w:lvlText w:val="•"/>
      <w:lvlJc w:val="left"/>
      <w:pPr>
        <w:ind w:left="8043" w:hanging="299"/>
      </w:pPr>
      <w:rPr>
        <w:rFonts w:hint="default"/>
        <w:lang w:val="it-IT" w:eastAsia="en-US" w:bidi="ar-SA"/>
      </w:rPr>
    </w:lvl>
  </w:abstractNum>
  <w:abstractNum w:abstractNumId="34" w15:restartNumberingAfterBreak="0">
    <w:nsid w:val="45CE2B93"/>
    <w:multiLevelType w:val="multilevel"/>
    <w:tmpl w:val="9D542D0C"/>
    <w:lvl w:ilvl="0">
      <w:start w:val="1"/>
      <w:numFmt w:val="decimal"/>
      <w:lvlText w:val="%1."/>
      <w:lvlJc w:val="left"/>
      <w:pPr>
        <w:ind w:left="360" w:hanging="360"/>
      </w:pPr>
    </w:lvl>
    <w:lvl w:ilvl="1">
      <w:start w:val="1"/>
      <w:numFmt w:val="decimal"/>
      <w:lvlText w:val="%1.%2."/>
      <w:lvlJc w:val="left"/>
      <w:pPr>
        <w:ind w:left="792" w:hanging="432"/>
      </w:pPr>
      <w:rPr>
        <w:b w:val="0"/>
        <w:i w:val="0"/>
        <w:strike w:val="0"/>
        <w:dstrike w:val="0"/>
        <w:sz w:val="24"/>
        <w:szCs w:val="24"/>
      </w:rPr>
    </w:lvl>
    <w:lvl w:ilvl="2">
      <w:start w:val="1"/>
      <w:numFmt w:val="decimal"/>
      <w:lvlText w:val="%3)"/>
      <w:lvlJc w:val="left"/>
      <w:pPr>
        <w:ind w:left="788" w:hanging="504"/>
      </w:pPr>
      <w:rPr>
        <w:rFonts w:eastAsia="Times New Roman" w:cs="Calibri"/>
        <w:b w:val="0"/>
        <w:i w:val="0"/>
        <w:strike w:val="0"/>
        <w:dstrike w:val="0"/>
        <w:sz w:val="18"/>
        <w:szCs w:val="18"/>
      </w:rPr>
    </w:lvl>
    <w:lvl w:ilvl="3">
      <w:start w:val="1"/>
      <w:numFmt w:val="lowerLetter"/>
      <w:lvlText w:val="%4)"/>
      <w:lvlJc w:val="left"/>
      <w:pPr>
        <w:ind w:left="932" w:hanging="648"/>
      </w:pPr>
      <w:rPr>
        <w:rFonts w:eastAsia="Times New Roman" w:cs="Arial"/>
        <w:b w:val="0"/>
        <w:strike w:val="0"/>
        <w:dstrike w:val="0"/>
        <w:color w:val="auto"/>
        <w:sz w:val="24"/>
        <w:szCs w:val="24"/>
      </w:rPr>
    </w:lvl>
    <w:lvl w:ilvl="4">
      <w:start w:val="1"/>
      <w:numFmt w:val="decimal"/>
      <w:lvlText w:val="%1.%2.%3.%4.%5."/>
      <w:lvlJc w:val="left"/>
      <w:pPr>
        <w:ind w:left="2069"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A5C7CC9"/>
    <w:multiLevelType w:val="multilevel"/>
    <w:tmpl w:val="F94ED448"/>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lowerLetter"/>
      <w:lvlText w:val="%3)"/>
      <w:lvlJc w:val="left"/>
      <w:pPr>
        <w:ind w:left="360" w:hanging="360"/>
      </w:pPr>
      <w:rPr>
        <w:rFonts w:ascii="Titillium" w:hAnsi="Titillium" w:hint="default"/>
        <w:sz w:val="18"/>
        <w:szCs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4E210CCB"/>
    <w:multiLevelType w:val="hybridMultilevel"/>
    <w:tmpl w:val="78D62B3A"/>
    <w:lvl w:ilvl="0" w:tplc="359E4AD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4F4D7E9D"/>
    <w:multiLevelType w:val="hybridMultilevel"/>
    <w:tmpl w:val="68C24618"/>
    <w:lvl w:ilvl="0" w:tplc="359E4AD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 w15:restartNumberingAfterBreak="0">
    <w:nsid w:val="553635EA"/>
    <w:multiLevelType w:val="hybridMultilevel"/>
    <w:tmpl w:val="27320204"/>
    <w:lvl w:ilvl="0" w:tplc="E892BB16">
      <w:start w:val="1"/>
      <w:numFmt w:val="lowerLetter"/>
      <w:lvlText w:val="%1)"/>
      <w:lvlJc w:val="left"/>
      <w:pPr>
        <w:ind w:left="1288" w:hanging="360"/>
      </w:pPr>
    </w:lvl>
    <w:lvl w:ilvl="1" w:tplc="04100019">
      <w:start w:val="1"/>
      <w:numFmt w:val="lowerLetter"/>
      <w:lvlText w:val="%2."/>
      <w:lvlJc w:val="left"/>
      <w:pPr>
        <w:ind w:left="2084" w:hanging="360"/>
      </w:pPr>
    </w:lvl>
    <w:lvl w:ilvl="2" w:tplc="0410001B">
      <w:start w:val="1"/>
      <w:numFmt w:val="lowerRoman"/>
      <w:lvlText w:val="%3."/>
      <w:lvlJc w:val="right"/>
      <w:pPr>
        <w:ind w:left="2804" w:hanging="180"/>
      </w:pPr>
    </w:lvl>
    <w:lvl w:ilvl="3" w:tplc="0410000F">
      <w:start w:val="1"/>
      <w:numFmt w:val="decimal"/>
      <w:lvlText w:val="%4."/>
      <w:lvlJc w:val="left"/>
      <w:pPr>
        <w:ind w:left="3524" w:hanging="360"/>
      </w:pPr>
    </w:lvl>
    <w:lvl w:ilvl="4" w:tplc="04100019">
      <w:start w:val="1"/>
      <w:numFmt w:val="lowerLetter"/>
      <w:lvlText w:val="%5."/>
      <w:lvlJc w:val="left"/>
      <w:pPr>
        <w:ind w:left="4244" w:hanging="360"/>
      </w:pPr>
    </w:lvl>
    <w:lvl w:ilvl="5" w:tplc="0410001B">
      <w:start w:val="1"/>
      <w:numFmt w:val="lowerRoman"/>
      <w:lvlText w:val="%6."/>
      <w:lvlJc w:val="right"/>
      <w:pPr>
        <w:ind w:left="4964" w:hanging="180"/>
      </w:pPr>
    </w:lvl>
    <w:lvl w:ilvl="6" w:tplc="0410000F">
      <w:start w:val="1"/>
      <w:numFmt w:val="decimal"/>
      <w:lvlText w:val="%7."/>
      <w:lvlJc w:val="left"/>
      <w:pPr>
        <w:ind w:left="5684" w:hanging="360"/>
      </w:pPr>
    </w:lvl>
    <w:lvl w:ilvl="7" w:tplc="04100019">
      <w:start w:val="1"/>
      <w:numFmt w:val="lowerLetter"/>
      <w:lvlText w:val="%8."/>
      <w:lvlJc w:val="left"/>
      <w:pPr>
        <w:ind w:left="6404" w:hanging="360"/>
      </w:pPr>
    </w:lvl>
    <w:lvl w:ilvl="8" w:tplc="0410001B">
      <w:start w:val="1"/>
      <w:numFmt w:val="lowerRoman"/>
      <w:lvlText w:val="%9."/>
      <w:lvlJc w:val="right"/>
      <w:pPr>
        <w:ind w:left="7124" w:hanging="180"/>
      </w:pPr>
    </w:lvl>
  </w:abstractNum>
  <w:abstractNum w:abstractNumId="39" w15:restartNumberingAfterBreak="0">
    <w:nsid w:val="5ACD32B0"/>
    <w:multiLevelType w:val="multilevel"/>
    <w:tmpl w:val="AF02930A"/>
    <w:lvl w:ilvl="0">
      <w:start w:val="1"/>
      <w:numFmt w:val="decimal"/>
      <w:lvlText w:val="%1."/>
      <w:lvlJc w:val="left"/>
      <w:pPr>
        <w:ind w:left="360" w:hanging="360"/>
      </w:pPr>
    </w:lvl>
    <w:lvl w:ilvl="1">
      <w:start w:val="1"/>
      <w:numFmt w:val="decimal"/>
      <w:lvlText w:val="%1.%2."/>
      <w:lvlJc w:val="left"/>
      <w:pPr>
        <w:ind w:left="792" w:hanging="432"/>
      </w:pPr>
      <w:rPr>
        <w:b w:val="0"/>
        <w:i w:val="0"/>
        <w:sz w:val="24"/>
        <w:szCs w:val="24"/>
      </w:rPr>
    </w:lvl>
    <w:lvl w:ilvl="2">
      <w:start w:val="1"/>
      <w:numFmt w:val="decimal"/>
      <w:lvlText w:val="%1.%2.%3."/>
      <w:lvlJc w:val="left"/>
      <w:pPr>
        <w:ind w:left="788" w:hanging="504"/>
      </w:pPr>
      <w:rPr>
        <w:b w:val="0"/>
        <w:i w:val="0"/>
        <w:strike w:val="0"/>
        <w:dstrike w:val="0"/>
        <w:sz w:val="24"/>
        <w:szCs w:val="24"/>
      </w:rPr>
    </w:lvl>
    <w:lvl w:ilvl="3">
      <w:start w:val="1"/>
      <w:numFmt w:val="decimal"/>
      <w:lvlText w:val="%1.%2.%3.%4."/>
      <w:lvlJc w:val="left"/>
      <w:pPr>
        <w:ind w:left="932" w:hanging="648"/>
      </w:pPr>
      <w:rPr>
        <w:b w:val="0"/>
        <w:strike w:val="0"/>
        <w:dstrike w:val="0"/>
        <w:color w:val="auto"/>
        <w:sz w:val="24"/>
        <w:szCs w:val="24"/>
      </w:rPr>
    </w:lvl>
    <w:lvl w:ilvl="4">
      <w:start w:val="1"/>
      <w:numFmt w:val="lowerLetter"/>
      <w:lvlText w:val="%5."/>
      <w:lvlJc w:val="left"/>
      <w:pPr>
        <w:ind w:left="2069" w:hanging="792"/>
      </w:pPr>
      <w:rPr>
        <w:sz w:val="18"/>
        <w:szCs w:val="18"/>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AD84E59"/>
    <w:multiLevelType w:val="multilevel"/>
    <w:tmpl w:val="EC541B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B812089"/>
    <w:multiLevelType w:val="multilevel"/>
    <w:tmpl w:val="E21866BC"/>
    <w:lvl w:ilvl="0">
      <w:start w:val="1"/>
      <w:numFmt w:val="lowerLetter"/>
      <w:lvlText w:val="%1)"/>
      <w:lvlJc w:val="left"/>
      <w:pPr>
        <w:tabs>
          <w:tab w:val="num" w:pos="0"/>
        </w:tabs>
        <w:ind w:left="1146" w:hanging="360"/>
      </w:pPr>
    </w:lvl>
    <w:lvl w:ilvl="1">
      <w:start w:val="1"/>
      <w:numFmt w:val="bullet"/>
      <w:lvlText w:val=""/>
      <w:lvlJc w:val="left"/>
      <w:pPr>
        <w:tabs>
          <w:tab w:val="num" w:pos="0"/>
        </w:tabs>
        <w:ind w:left="862" w:hanging="360"/>
      </w:pPr>
      <w:rPr>
        <w:rFonts w:ascii="Symbol" w:hAnsi="Symbol" w:cs="Symbol" w:hint="default"/>
      </w:r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42" w15:restartNumberingAfterBreak="0">
    <w:nsid w:val="5BBD3760"/>
    <w:multiLevelType w:val="multilevel"/>
    <w:tmpl w:val="FF04CE1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lowerLetter"/>
      <w:lvlText w:val="%3)"/>
      <w:lvlJc w:val="left"/>
      <w:pPr>
        <w:ind w:left="360" w:hanging="360"/>
      </w:pPr>
      <w:rPr>
        <w:rFonts w:ascii="Titillium" w:hAnsi="Titillium" w:hint="default"/>
        <w:sz w:val="18"/>
        <w:szCs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5D8B6A23"/>
    <w:multiLevelType w:val="hybridMultilevel"/>
    <w:tmpl w:val="264EFCE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5E035B72"/>
    <w:multiLevelType w:val="hybridMultilevel"/>
    <w:tmpl w:val="3D64A4E6"/>
    <w:lvl w:ilvl="0" w:tplc="04100017">
      <w:start w:val="1"/>
      <w:numFmt w:val="lowerLetter"/>
      <w:lvlText w:val="%1)"/>
      <w:lvlJc w:val="left"/>
      <w:pPr>
        <w:ind w:left="1004" w:hanging="360"/>
      </w:pPr>
    </w:lvl>
    <w:lvl w:ilvl="1" w:tplc="04100019">
      <w:start w:val="1"/>
      <w:numFmt w:val="lowerLetter"/>
      <w:lvlText w:val="%2."/>
      <w:lvlJc w:val="left"/>
      <w:pPr>
        <w:ind w:left="1724" w:hanging="360"/>
      </w:pPr>
    </w:lvl>
    <w:lvl w:ilvl="2" w:tplc="0410001B">
      <w:start w:val="1"/>
      <w:numFmt w:val="lowerRoman"/>
      <w:lvlText w:val="%3."/>
      <w:lvlJc w:val="right"/>
      <w:pPr>
        <w:ind w:left="2444" w:hanging="180"/>
      </w:pPr>
    </w:lvl>
    <w:lvl w:ilvl="3" w:tplc="0410000F">
      <w:start w:val="1"/>
      <w:numFmt w:val="decimal"/>
      <w:lvlText w:val="%4."/>
      <w:lvlJc w:val="left"/>
      <w:pPr>
        <w:ind w:left="3164" w:hanging="360"/>
      </w:pPr>
    </w:lvl>
    <w:lvl w:ilvl="4" w:tplc="04100019">
      <w:start w:val="1"/>
      <w:numFmt w:val="lowerLetter"/>
      <w:lvlText w:val="%5."/>
      <w:lvlJc w:val="left"/>
      <w:pPr>
        <w:ind w:left="3884" w:hanging="360"/>
      </w:pPr>
    </w:lvl>
    <w:lvl w:ilvl="5" w:tplc="0410001B">
      <w:start w:val="1"/>
      <w:numFmt w:val="lowerRoman"/>
      <w:lvlText w:val="%6."/>
      <w:lvlJc w:val="right"/>
      <w:pPr>
        <w:ind w:left="4604" w:hanging="180"/>
      </w:pPr>
    </w:lvl>
    <w:lvl w:ilvl="6" w:tplc="0410000F">
      <w:start w:val="1"/>
      <w:numFmt w:val="decimal"/>
      <w:lvlText w:val="%7."/>
      <w:lvlJc w:val="left"/>
      <w:pPr>
        <w:ind w:left="5324" w:hanging="360"/>
      </w:pPr>
    </w:lvl>
    <w:lvl w:ilvl="7" w:tplc="04100019">
      <w:start w:val="1"/>
      <w:numFmt w:val="lowerLetter"/>
      <w:lvlText w:val="%8."/>
      <w:lvlJc w:val="left"/>
      <w:pPr>
        <w:ind w:left="6044" w:hanging="360"/>
      </w:pPr>
    </w:lvl>
    <w:lvl w:ilvl="8" w:tplc="0410001B">
      <w:start w:val="1"/>
      <w:numFmt w:val="lowerRoman"/>
      <w:lvlText w:val="%9."/>
      <w:lvlJc w:val="right"/>
      <w:pPr>
        <w:ind w:left="6764" w:hanging="180"/>
      </w:pPr>
    </w:lvl>
  </w:abstractNum>
  <w:abstractNum w:abstractNumId="45" w15:restartNumberingAfterBreak="0">
    <w:nsid w:val="5EC73F61"/>
    <w:multiLevelType w:val="hybridMultilevel"/>
    <w:tmpl w:val="564646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6153090D"/>
    <w:multiLevelType w:val="hybridMultilevel"/>
    <w:tmpl w:val="D96C8308"/>
    <w:lvl w:ilvl="0" w:tplc="20FE1BDA">
      <w:start w:val="1"/>
      <w:numFmt w:val="bullet"/>
      <w:lvlText w:val="-"/>
      <w:lvlJc w:val="left"/>
      <w:pPr>
        <w:ind w:left="720" w:hanging="360"/>
      </w:pPr>
      <w:rPr>
        <w:rFonts w:ascii="Tahoma" w:eastAsia="Tahoma" w:hAnsi="Tahoma"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7" w15:restartNumberingAfterBreak="0">
    <w:nsid w:val="647F3300"/>
    <w:multiLevelType w:val="hybridMultilevel"/>
    <w:tmpl w:val="78F01A5C"/>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48" w15:restartNumberingAfterBreak="0">
    <w:nsid w:val="66F45B34"/>
    <w:multiLevelType w:val="multilevel"/>
    <w:tmpl w:val="5844A63C"/>
    <w:lvl w:ilvl="0">
      <w:start w:val="1"/>
      <w:numFmt w:val="bullet"/>
      <w:lvlText w:val=""/>
      <w:lvlJc w:val="left"/>
      <w:pPr>
        <w:ind w:left="720" w:hanging="360"/>
      </w:pPr>
      <w:rPr>
        <w:rFonts w:ascii="Wingdings" w:hAnsi="Wingdings" w:hint="default"/>
        <w:b w:val="0"/>
        <w:i w:val="0"/>
        <w:sz w:val="18"/>
        <w:szCs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9" w15:restartNumberingAfterBreak="0">
    <w:nsid w:val="67514E2A"/>
    <w:multiLevelType w:val="hybridMultilevel"/>
    <w:tmpl w:val="B43622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0" w15:restartNumberingAfterBreak="0">
    <w:nsid w:val="689A2069"/>
    <w:multiLevelType w:val="hybridMultilevel"/>
    <w:tmpl w:val="45D43D7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15:restartNumberingAfterBreak="0">
    <w:nsid w:val="6B212F64"/>
    <w:multiLevelType w:val="hybridMultilevel"/>
    <w:tmpl w:val="BCA69F04"/>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2" w15:restartNumberingAfterBreak="0">
    <w:nsid w:val="6BE33A0F"/>
    <w:multiLevelType w:val="multilevel"/>
    <w:tmpl w:val="7D162C3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6ECD7D2F"/>
    <w:multiLevelType w:val="multilevel"/>
    <w:tmpl w:val="6F8A7A1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4" w15:restartNumberingAfterBreak="0">
    <w:nsid w:val="6F19691E"/>
    <w:multiLevelType w:val="hybridMultilevel"/>
    <w:tmpl w:val="F79A511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5" w15:restartNumberingAfterBreak="0">
    <w:nsid w:val="6F9739D7"/>
    <w:multiLevelType w:val="multilevel"/>
    <w:tmpl w:val="771A8836"/>
    <w:lvl w:ilvl="0">
      <w:start w:val="1"/>
      <w:numFmt w:val="bullet"/>
      <w:lvlText w:val=""/>
      <w:lvlJc w:val="left"/>
      <w:pPr>
        <w:ind w:left="720" w:hanging="360"/>
      </w:pPr>
      <w:rPr>
        <w:rFonts w:ascii="Symbol" w:hAnsi="Symbol" w:hint="default"/>
        <w:b w:val="0"/>
        <w:i w:val="0"/>
        <w:sz w:val="18"/>
        <w:szCs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6" w15:restartNumberingAfterBreak="0">
    <w:nsid w:val="73EF7ACA"/>
    <w:multiLevelType w:val="multilevel"/>
    <w:tmpl w:val="F94ED448"/>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lowerLetter"/>
      <w:lvlText w:val="%3)"/>
      <w:lvlJc w:val="left"/>
      <w:pPr>
        <w:ind w:left="360" w:hanging="360"/>
      </w:pPr>
      <w:rPr>
        <w:rFonts w:ascii="Titillium" w:hAnsi="Titillium" w:hint="default"/>
        <w:sz w:val="18"/>
        <w:szCs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15:restartNumberingAfterBreak="0">
    <w:nsid w:val="754D586F"/>
    <w:multiLevelType w:val="hybridMultilevel"/>
    <w:tmpl w:val="A6C68010"/>
    <w:lvl w:ilvl="0" w:tplc="359E4A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8C61D3D"/>
    <w:multiLevelType w:val="hybridMultilevel"/>
    <w:tmpl w:val="50122772"/>
    <w:lvl w:ilvl="0" w:tplc="0410000D">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9" w15:restartNumberingAfterBreak="0">
    <w:nsid w:val="7AAF4DAD"/>
    <w:multiLevelType w:val="hybridMultilevel"/>
    <w:tmpl w:val="69903C68"/>
    <w:lvl w:ilvl="0" w:tplc="BB24CDAA">
      <w:numFmt w:val="bullet"/>
      <w:lvlText w:val="-"/>
      <w:lvlJc w:val="left"/>
      <w:pPr>
        <w:ind w:left="720" w:hanging="360"/>
      </w:pPr>
      <w:rPr>
        <w:rFonts w:ascii="Garamond" w:eastAsia="Times New Roman" w:hAnsi="Garamond"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0" w15:restartNumberingAfterBreak="0">
    <w:nsid w:val="7B577C24"/>
    <w:multiLevelType w:val="hybridMultilevel"/>
    <w:tmpl w:val="E2B4C8CC"/>
    <w:lvl w:ilvl="0" w:tplc="0410000B">
      <w:start w:val="1"/>
      <w:numFmt w:val="bullet"/>
      <w:lvlText w:val=""/>
      <w:lvlJc w:val="left"/>
      <w:pPr>
        <w:ind w:left="720" w:hanging="360"/>
      </w:pPr>
      <w:rPr>
        <w:rFonts w:ascii="Wingdings" w:hAnsi="Wingdings" w:hint="default"/>
        <w:b w:val="0"/>
        <w:bCs/>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1" w15:restartNumberingAfterBreak="0">
    <w:nsid w:val="7D0035B5"/>
    <w:multiLevelType w:val="hybridMultilevel"/>
    <w:tmpl w:val="AA84F6D2"/>
    <w:lvl w:ilvl="0" w:tplc="FFFFFFFF">
      <w:numFmt w:val="bullet"/>
      <w:lvlText w:val="-"/>
      <w:lvlJc w:val="left"/>
      <w:pPr>
        <w:ind w:left="720" w:hanging="360"/>
      </w:pPr>
      <w:rPr>
        <w:rFonts w:ascii="Garamond" w:eastAsia="Times New Roman" w:hAnsi="Garamond" w:cs="Arial" w:hint="default"/>
      </w:rPr>
    </w:lvl>
    <w:lvl w:ilvl="1" w:tplc="BB24CDAA">
      <w:numFmt w:val="bullet"/>
      <w:lvlText w:val="-"/>
      <w:lvlJc w:val="left"/>
      <w:pPr>
        <w:ind w:left="1440" w:hanging="360"/>
      </w:pPr>
      <w:rPr>
        <w:rFonts w:ascii="Garamond" w:eastAsia="Times New Roman" w:hAnsi="Garamond" w:cs="Arial" w:hint="default"/>
        <w:sz w:val="24"/>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55086867">
    <w:abstractNumId w:val="25"/>
  </w:num>
  <w:num w:numId="2" w16cid:durableId="1842158557">
    <w:abstractNumId w:val="39"/>
  </w:num>
  <w:num w:numId="3" w16cid:durableId="1311981511">
    <w:abstractNumId w:val="9"/>
  </w:num>
  <w:num w:numId="4" w16cid:durableId="1527594448">
    <w:abstractNumId w:val="24"/>
  </w:num>
  <w:num w:numId="5" w16cid:durableId="425535560">
    <w:abstractNumId w:val="17"/>
  </w:num>
  <w:num w:numId="6" w16cid:durableId="1521818215">
    <w:abstractNumId w:val="12"/>
  </w:num>
  <w:num w:numId="7" w16cid:durableId="283925021">
    <w:abstractNumId w:val="3"/>
  </w:num>
  <w:num w:numId="8" w16cid:durableId="500583023">
    <w:abstractNumId w:val="7"/>
  </w:num>
  <w:num w:numId="9" w16cid:durableId="1192887913">
    <w:abstractNumId w:val="5"/>
  </w:num>
  <w:num w:numId="10" w16cid:durableId="1870145417">
    <w:abstractNumId w:val="34"/>
  </w:num>
  <w:num w:numId="11" w16cid:durableId="1427656926">
    <w:abstractNumId w:val="26"/>
  </w:num>
  <w:num w:numId="12" w16cid:durableId="1219053244">
    <w:abstractNumId w:val="32"/>
  </w:num>
  <w:num w:numId="13" w16cid:durableId="2061323736">
    <w:abstractNumId w:val="40"/>
  </w:num>
  <w:num w:numId="14" w16cid:durableId="2081516180">
    <w:abstractNumId w:val="2"/>
  </w:num>
  <w:num w:numId="15" w16cid:durableId="1526553636">
    <w:abstractNumId w:val="18"/>
  </w:num>
  <w:num w:numId="16" w16cid:durableId="2079395789">
    <w:abstractNumId w:val="28"/>
  </w:num>
  <w:num w:numId="17" w16cid:durableId="1059207112">
    <w:abstractNumId w:val="15"/>
  </w:num>
  <w:num w:numId="18" w16cid:durableId="1892960560">
    <w:abstractNumId w:val="16"/>
  </w:num>
  <w:num w:numId="19" w16cid:durableId="160203078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53292508">
    <w:abstractNumId w:val="6"/>
  </w:num>
  <w:num w:numId="21" w16cid:durableId="2093240768">
    <w:abstractNumId w:val="21"/>
  </w:num>
  <w:num w:numId="22" w16cid:durableId="204756799">
    <w:abstractNumId w:val="22"/>
  </w:num>
  <w:num w:numId="23" w16cid:durableId="1052583997">
    <w:abstractNumId w:val="45"/>
  </w:num>
  <w:num w:numId="24" w16cid:durableId="1905136571">
    <w:abstractNumId w:val="58"/>
  </w:num>
  <w:num w:numId="25" w16cid:durableId="1161001818">
    <w:abstractNumId w:val="57"/>
  </w:num>
  <w:num w:numId="26" w16cid:durableId="955067057">
    <w:abstractNumId w:val="37"/>
  </w:num>
  <w:num w:numId="27" w16cid:durableId="1861310051">
    <w:abstractNumId w:val="52"/>
  </w:num>
  <w:num w:numId="28" w16cid:durableId="1185024110">
    <w:abstractNumId w:val="35"/>
  </w:num>
  <w:num w:numId="29" w16cid:durableId="1406757944">
    <w:abstractNumId w:val="29"/>
  </w:num>
  <w:num w:numId="30" w16cid:durableId="980573949">
    <w:abstractNumId w:val="20"/>
  </w:num>
  <w:num w:numId="31" w16cid:durableId="607354569">
    <w:abstractNumId w:val="36"/>
  </w:num>
  <w:num w:numId="32" w16cid:durableId="2122457018">
    <w:abstractNumId w:val="51"/>
  </w:num>
  <w:num w:numId="33" w16cid:durableId="210541644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33332353">
    <w:abstractNumId w:val="56"/>
  </w:num>
  <w:num w:numId="35" w16cid:durableId="1037971939">
    <w:abstractNumId w:val="31"/>
  </w:num>
  <w:num w:numId="36" w16cid:durableId="2008551878">
    <w:abstractNumId w:val="60"/>
  </w:num>
  <w:num w:numId="37" w16cid:durableId="1960720388">
    <w:abstractNumId w:val="33"/>
  </w:num>
  <w:num w:numId="38" w16cid:durableId="1472360625">
    <w:abstractNumId w:val="48"/>
  </w:num>
  <w:num w:numId="39" w16cid:durableId="852502000">
    <w:abstractNumId w:val="27"/>
  </w:num>
  <w:num w:numId="40" w16cid:durableId="936983422">
    <w:abstractNumId w:val="41"/>
  </w:num>
  <w:num w:numId="41" w16cid:durableId="1552568606">
    <w:abstractNumId w:val="53"/>
  </w:num>
  <w:num w:numId="42" w16cid:durableId="1726568236">
    <w:abstractNumId w:val="11"/>
  </w:num>
  <w:num w:numId="43" w16cid:durableId="1811556380">
    <w:abstractNumId w:val="42"/>
  </w:num>
  <w:num w:numId="44" w16cid:durableId="2072269490">
    <w:abstractNumId w:val="46"/>
  </w:num>
  <w:num w:numId="45" w16cid:durableId="55902416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03178026">
    <w:abstractNumId w:val="47"/>
  </w:num>
  <w:num w:numId="47" w16cid:durableId="649484246">
    <w:abstractNumId w:val="1"/>
  </w:num>
  <w:num w:numId="48" w16cid:durableId="1167792666">
    <w:abstractNumId w:val="8"/>
  </w:num>
  <w:num w:numId="49" w16cid:durableId="1584878251">
    <w:abstractNumId w:val="13"/>
  </w:num>
  <w:num w:numId="50" w16cid:durableId="60518169">
    <w:abstractNumId w:val="14"/>
  </w:num>
  <w:num w:numId="51" w16cid:durableId="1007825071">
    <w:abstractNumId w:val="10"/>
  </w:num>
  <w:num w:numId="52" w16cid:durableId="1734160305">
    <w:abstractNumId w:val="43"/>
  </w:num>
  <w:num w:numId="53" w16cid:durableId="146174349">
    <w:abstractNumId w:val="61"/>
  </w:num>
  <w:num w:numId="54" w16cid:durableId="386803733">
    <w:abstractNumId w:val="54"/>
  </w:num>
  <w:num w:numId="55" w16cid:durableId="1257784141">
    <w:abstractNumId w:val="19"/>
  </w:num>
  <w:num w:numId="56" w16cid:durableId="989359555">
    <w:abstractNumId w:val="59"/>
  </w:num>
  <w:num w:numId="57" w16cid:durableId="1571887109">
    <w:abstractNumId w:val="55"/>
  </w:num>
  <w:num w:numId="58" w16cid:durableId="271135948">
    <w:abstractNumId w:val="50"/>
  </w:num>
  <w:num w:numId="59" w16cid:durableId="821584641">
    <w:abstractNumId w:val="0"/>
  </w:num>
  <w:num w:numId="60" w16cid:durableId="415638714">
    <w:abstractNumId w:val="23"/>
  </w:num>
  <w:num w:numId="61" w16cid:durableId="1184441159">
    <w:abstractNumId w:val="4"/>
  </w:num>
  <w:num w:numId="62" w16cid:durableId="165945248">
    <w:abstractNumId w:val="4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US" w:vendorID="64" w:dllVersion="4096" w:nlCheck="1" w:checkStyle="0"/>
  <w:activeWritingStyle w:appName="MSWord" w:lang="it-IT" w:vendorID="64" w:dllVersion="0" w:nlCheck="1" w:checkStyle="0"/>
  <w:activeWritingStyle w:appName="MSWord" w:lang="en-US" w:vendorID="64" w:dllVersion="0" w:nlCheck="1" w:checkStyle="0"/>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3A8"/>
    <w:rsid w:val="0000035E"/>
    <w:rsid w:val="00000389"/>
    <w:rsid w:val="00000A53"/>
    <w:rsid w:val="00002176"/>
    <w:rsid w:val="00002830"/>
    <w:rsid w:val="00004B56"/>
    <w:rsid w:val="00005305"/>
    <w:rsid w:val="00005387"/>
    <w:rsid w:val="00006719"/>
    <w:rsid w:val="00007B56"/>
    <w:rsid w:val="0001043B"/>
    <w:rsid w:val="000104CE"/>
    <w:rsid w:val="00011115"/>
    <w:rsid w:val="000116E2"/>
    <w:rsid w:val="00012ECB"/>
    <w:rsid w:val="000148A7"/>
    <w:rsid w:val="000154AA"/>
    <w:rsid w:val="0001573D"/>
    <w:rsid w:val="00015AA6"/>
    <w:rsid w:val="0001616C"/>
    <w:rsid w:val="000169E9"/>
    <w:rsid w:val="00016AD6"/>
    <w:rsid w:val="0001732D"/>
    <w:rsid w:val="00017495"/>
    <w:rsid w:val="00017921"/>
    <w:rsid w:val="00020C74"/>
    <w:rsid w:val="0002185F"/>
    <w:rsid w:val="00022013"/>
    <w:rsid w:val="0002298D"/>
    <w:rsid w:val="00022BCC"/>
    <w:rsid w:val="00022C2C"/>
    <w:rsid w:val="000271A3"/>
    <w:rsid w:val="000327A5"/>
    <w:rsid w:val="00032F35"/>
    <w:rsid w:val="00035477"/>
    <w:rsid w:val="0003597C"/>
    <w:rsid w:val="00035A0F"/>
    <w:rsid w:val="00041185"/>
    <w:rsid w:val="00041DFE"/>
    <w:rsid w:val="000421C5"/>
    <w:rsid w:val="00042A22"/>
    <w:rsid w:val="000434E9"/>
    <w:rsid w:val="00043BF2"/>
    <w:rsid w:val="00043D99"/>
    <w:rsid w:val="000442EC"/>
    <w:rsid w:val="0004513E"/>
    <w:rsid w:val="00045791"/>
    <w:rsid w:val="0004609F"/>
    <w:rsid w:val="00046608"/>
    <w:rsid w:val="000475A1"/>
    <w:rsid w:val="00047A65"/>
    <w:rsid w:val="00052E7E"/>
    <w:rsid w:val="00052FC5"/>
    <w:rsid w:val="00053C3C"/>
    <w:rsid w:val="00054ED9"/>
    <w:rsid w:val="00055514"/>
    <w:rsid w:val="00055A47"/>
    <w:rsid w:val="000565B4"/>
    <w:rsid w:val="000572D6"/>
    <w:rsid w:val="00060C9D"/>
    <w:rsid w:val="00061318"/>
    <w:rsid w:val="00061AC0"/>
    <w:rsid w:val="00061E9D"/>
    <w:rsid w:val="00061EF2"/>
    <w:rsid w:val="00062C72"/>
    <w:rsid w:val="00063F81"/>
    <w:rsid w:val="00065688"/>
    <w:rsid w:val="00066C35"/>
    <w:rsid w:val="0006740A"/>
    <w:rsid w:val="00070082"/>
    <w:rsid w:val="0007039D"/>
    <w:rsid w:val="00070ED6"/>
    <w:rsid w:val="000723BE"/>
    <w:rsid w:val="00074B74"/>
    <w:rsid w:val="00075888"/>
    <w:rsid w:val="00075960"/>
    <w:rsid w:val="00077C38"/>
    <w:rsid w:val="00080DD1"/>
    <w:rsid w:val="00081B9F"/>
    <w:rsid w:val="00082D01"/>
    <w:rsid w:val="00082FB9"/>
    <w:rsid w:val="0008310E"/>
    <w:rsid w:val="00083F07"/>
    <w:rsid w:val="00085091"/>
    <w:rsid w:val="00085E9E"/>
    <w:rsid w:val="00086CFD"/>
    <w:rsid w:val="00086E8B"/>
    <w:rsid w:val="00087453"/>
    <w:rsid w:val="000910A4"/>
    <w:rsid w:val="000938C1"/>
    <w:rsid w:val="000947B4"/>
    <w:rsid w:val="00094C9A"/>
    <w:rsid w:val="00097D4C"/>
    <w:rsid w:val="000A1081"/>
    <w:rsid w:val="000A150B"/>
    <w:rsid w:val="000A20FF"/>
    <w:rsid w:val="000A29E8"/>
    <w:rsid w:val="000A3996"/>
    <w:rsid w:val="000A3CEB"/>
    <w:rsid w:val="000A422E"/>
    <w:rsid w:val="000A444B"/>
    <w:rsid w:val="000A4626"/>
    <w:rsid w:val="000A5C33"/>
    <w:rsid w:val="000A79C5"/>
    <w:rsid w:val="000A7AA0"/>
    <w:rsid w:val="000B02C0"/>
    <w:rsid w:val="000B19D5"/>
    <w:rsid w:val="000B28F4"/>
    <w:rsid w:val="000B2985"/>
    <w:rsid w:val="000B53F9"/>
    <w:rsid w:val="000B54FB"/>
    <w:rsid w:val="000B6B38"/>
    <w:rsid w:val="000B6B67"/>
    <w:rsid w:val="000C0F00"/>
    <w:rsid w:val="000C113D"/>
    <w:rsid w:val="000C22E7"/>
    <w:rsid w:val="000C29CD"/>
    <w:rsid w:val="000C344B"/>
    <w:rsid w:val="000C424D"/>
    <w:rsid w:val="000C4837"/>
    <w:rsid w:val="000C518E"/>
    <w:rsid w:val="000C5816"/>
    <w:rsid w:val="000C5F70"/>
    <w:rsid w:val="000C62BD"/>
    <w:rsid w:val="000C6459"/>
    <w:rsid w:val="000C70DE"/>
    <w:rsid w:val="000D0F76"/>
    <w:rsid w:val="000D4684"/>
    <w:rsid w:val="000D4A09"/>
    <w:rsid w:val="000D5750"/>
    <w:rsid w:val="000D68B4"/>
    <w:rsid w:val="000E0C4F"/>
    <w:rsid w:val="000E1A68"/>
    <w:rsid w:val="000E2397"/>
    <w:rsid w:val="000E449D"/>
    <w:rsid w:val="000E45B5"/>
    <w:rsid w:val="000E55F0"/>
    <w:rsid w:val="000E7211"/>
    <w:rsid w:val="000F04A8"/>
    <w:rsid w:val="000F10C0"/>
    <w:rsid w:val="000F12B6"/>
    <w:rsid w:val="000F12D1"/>
    <w:rsid w:val="000F205C"/>
    <w:rsid w:val="000F3274"/>
    <w:rsid w:val="000F4400"/>
    <w:rsid w:val="000F5777"/>
    <w:rsid w:val="000F67DD"/>
    <w:rsid w:val="00100820"/>
    <w:rsid w:val="001018FB"/>
    <w:rsid w:val="00102331"/>
    <w:rsid w:val="001035D6"/>
    <w:rsid w:val="00103B73"/>
    <w:rsid w:val="00103C9D"/>
    <w:rsid w:val="00104CE7"/>
    <w:rsid w:val="00104D9C"/>
    <w:rsid w:val="00105658"/>
    <w:rsid w:val="00105A65"/>
    <w:rsid w:val="00105D90"/>
    <w:rsid w:val="00106818"/>
    <w:rsid w:val="00106BF8"/>
    <w:rsid w:val="00110E9F"/>
    <w:rsid w:val="00113098"/>
    <w:rsid w:val="00113F7B"/>
    <w:rsid w:val="00114938"/>
    <w:rsid w:val="00114B8D"/>
    <w:rsid w:val="0011561C"/>
    <w:rsid w:val="0011583A"/>
    <w:rsid w:val="00117EC7"/>
    <w:rsid w:val="00120D9E"/>
    <w:rsid w:val="00121698"/>
    <w:rsid w:val="00121F36"/>
    <w:rsid w:val="00122703"/>
    <w:rsid w:val="00123276"/>
    <w:rsid w:val="00123D7B"/>
    <w:rsid w:val="00123F3F"/>
    <w:rsid w:val="00125A3E"/>
    <w:rsid w:val="00126603"/>
    <w:rsid w:val="00127252"/>
    <w:rsid w:val="001322C5"/>
    <w:rsid w:val="001322F2"/>
    <w:rsid w:val="00133022"/>
    <w:rsid w:val="00134A2C"/>
    <w:rsid w:val="00135597"/>
    <w:rsid w:val="001359F2"/>
    <w:rsid w:val="001371C0"/>
    <w:rsid w:val="00140135"/>
    <w:rsid w:val="00140144"/>
    <w:rsid w:val="001418E6"/>
    <w:rsid w:val="001423D5"/>
    <w:rsid w:val="001443C2"/>
    <w:rsid w:val="00144854"/>
    <w:rsid w:val="00145410"/>
    <w:rsid w:val="001459D5"/>
    <w:rsid w:val="00146802"/>
    <w:rsid w:val="001519F3"/>
    <w:rsid w:val="00151B50"/>
    <w:rsid w:val="00151EE4"/>
    <w:rsid w:val="00152DC6"/>
    <w:rsid w:val="00153725"/>
    <w:rsid w:val="00154253"/>
    <w:rsid w:val="00155DB7"/>
    <w:rsid w:val="00157E95"/>
    <w:rsid w:val="001609A8"/>
    <w:rsid w:val="001616CF"/>
    <w:rsid w:val="00161CF1"/>
    <w:rsid w:val="0016518A"/>
    <w:rsid w:val="0016522E"/>
    <w:rsid w:val="0016603A"/>
    <w:rsid w:val="00166536"/>
    <w:rsid w:val="00167B50"/>
    <w:rsid w:val="00171D00"/>
    <w:rsid w:val="001724C4"/>
    <w:rsid w:val="00172914"/>
    <w:rsid w:val="00172A3E"/>
    <w:rsid w:val="001733B5"/>
    <w:rsid w:val="00173F43"/>
    <w:rsid w:val="00174E7A"/>
    <w:rsid w:val="00176074"/>
    <w:rsid w:val="00180931"/>
    <w:rsid w:val="00181287"/>
    <w:rsid w:val="00181491"/>
    <w:rsid w:val="00181A06"/>
    <w:rsid w:val="0018375B"/>
    <w:rsid w:val="00185E71"/>
    <w:rsid w:val="00186DAD"/>
    <w:rsid w:val="00187509"/>
    <w:rsid w:val="0018776B"/>
    <w:rsid w:val="0018777F"/>
    <w:rsid w:val="00187A06"/>
    <w:rsid w:val="00187BF3"/>
    <w:rsid w:val="00191698"/>
    <w:rsid w:val="001918F9"/>
    <w:rsid w:val="00193D39"/>
    <w:rsid w:val="00196055"/>
    <w:rsid w:val="001969D1"/>
    <w:rsid w:val="00196C82"/>
    <w:rsid w:val="001A1A38"/>
    <w:rsid w:val="001A1EAD"/>
    <w:rsid w:val="001A21ED"/>
    <w:rsid w:val="001A3847"/>
    <w:rsid w:val="001A40B5"/>
    <w:rsid w:val="001A4751"/>
    <w:rsid w:val="001A55DC"/>
    <w:rsid w:val="001A7C7A"/>
    <w:rsid w:val="001B0323"/>
    <w:rsid w:val="001B20F4"/>
    <w:rsid w:val="001B2459"/>
    <w:rsid w:val="001B3CE7"/>
    <w:rsid w:val="001B5A3D"/>
    <w:rsid w:val="001B6072"/>
    <w:rsid w:val="001B69D7"/>
    <w:rsid w:val="001B6DB1"/>
    <w:rsid w:val="001B7E2D"/>
    <w:rsid w:val="001B7F96"/>
    <w:rsid w:val="001C08AC"/>
    <w:rsid w:val="001C13E4"/>
    <w:rsid w:val="001C1CD5"/>
    <w:rsid w:val="001C2A3F"/>
    <w:rsid w:val="001C40F1"/>
    <w:rsid w:val="001D14AB"/>
    <w:rsid w:val="001D45E0"/>
    <w:rsid w:val="001D5738"/>
    <w:rsid w:val="001D695C"/>
    <w:rsid w:val="001D7478"/>
    <w:rsid w:val="001E1701"/>
    <w:rsid w:val="001E195C"/>
    <w:rsid w:val="001E1BD1"/>
    <w:rsid w:val="001E296B"/>
    <w:rsid w:val="001E2C1D"/>
    <w:rsid w:val="001E2E81"/>
    <w:rsid w:val="001E2ED0"/>
    <w:rsid w:val="001E48EE"/>
    <w:rsid w:val="001E4934"/>
    <w:rsid w:val="001E5DD2"/>
    <w:rsid w:val="001E6C53"/>
    <w:rsid w:val="001F0977"/>
    <w:rsid w:val="001F0B94"/>
    <w:rsid w:val="001F0CD4"/>
    <w:rsid w:val="001F2BAC"/>
    <w:rsid w:val="001F3065"/>
    <w:rsid w:val="001F3848"/>
    <w:rsid w:val="001F46D0"/>
    <w:rsid w:val="001F4765"/>
    <w:rsid w:val="001F5D8F"/>
    <w:rsid w:val="001F63D3"/>
    <w:rsid w:val="001F64AE"/>
    <w:rsid w:val="001F6690"/>
    <w:rsid w:val="001F6795"/>
    <w:rsid w:val="001F7BD9"/>
    <w:rsid w:val="001F7CAD"/>
    <w:rsid w:val="002012DE"/>
    <w:rsid w:val="00201D7F"/>
    <w:rsid w:val="00201F11"/>
    <w:rsid w:val="00203758"/>
    <w:rsid w:val="00205248"/>
    <w:rsid w:val="0020540F"/>
    <w:rsid w:val="00205E05"/>
    <w:rsid w:val="002061C6"/>
    <w:rsid w:val="00206D0E"/>
    <w:rsid w:val="002078CC"/>
    <w:rsid w:val="00213383"/>
    <w:rsid w:val="00214043"/>
    <w:rsid w:val="00214C08"/>
    <w:rsid w:val="0021566C"/>
    <w:rsid w:val="00216767"/>
    <w:rsid w:val="00217808"/>
    <w:rsid w:val="00220027"/>
    <w:rsid w:val="0022031B"/>
    <w:rsid w:val="00220E4E"/>
    <w:rsid w:val="0022153A"/>
    <w:rsid w:val="0022166A"/>
    <w:rsid w:val="002216EC"/>
    <w:rsid w:val="00221CDA"/>
    <w:rsid w:val="00221EA7"/>
    <w:rsid w:val="0022223A"/>
    <w:rsid w:val="00222A1D"/>
    <w:rsid w:val="00222EBF"/>
    <w:rsid w:val="00222FA6"/>
    <w:rsid w:val="002234FB"/>
    <w:rsid w:val="00223E3F"/>
    <w:rsid w:val="002241FC"/>
    <w:rsid w:val="00225CA9"/>
    <w:rsid w:val="00225E00"/>
    <w:rsid w:val="0022613D"/>
    <w:rsid w:val="00226BE2"/>
    <w:rsid w:val="00227650"/>
    <w:rsid w:val="002335B6"/>
    <w:rsid w:val="00233681"/>
    <w:rsid w:val="00234A39"/>
    <w:rsid w:val="00235005"/>
    <w:rsid w:val="002354C2"/>
    <w:rsid w:val="00235BC8"/>
    <w:rsid w:val="00236BE5"/>
    <w:rsid w:val="00237E33"/>
    <w:rsid w:val="00240132"/>
    <w:rsid w:val="00241BCA"/>
    <w:rsid w:val="00242213"/>
    <w:rsid w:val="00242E23"/>
    <w:rsid w:val="0024334B"/>
    <w:rsid w:val="002437AE"/>
    <w:rsid w:val="00247025"/>
    <w:rsid w:val="002507BD"/>
    <w:rsid w:val="002522A4"/>
    <w:rsid w:val="00252C09"/>
    <w:rsid w:val="00254D96"/>
    <w:rsid w:val="00255CF6"/>
    <w:rsid w:val="00255D0E"/>
    <w:rsid w:val="00256564"/>
    <w:rsid w:val="0025683D"/>
    <w:rsid w:val="00257258"/>
    <w:rsid w:val="0025735B"/>
    <w:rsid w:val="00257F4C"/>
    <w:rsid w:val="00260691"/>
    <w:rsid w:val="00260F0E"/>
    <w:rsid w:val="002610D4"/>
    <w:rsid w:val="002635D9"/>
    <w:rsid w:val="00263959"/>
    <w:rsid w:val="00263B62"/>
    <w:rsid w:val="00263EC4"/>
    <w:rsid w:val="00264A28"/>
    <w:rsid w:val="00264D6D"/>
    <w:rsid w:val="002659BF"/>
    <w:rsid w:val="00265CA6"/>
    <w:rsid w:val="00266AC2"/>
    <w:rsid w:val="00267D8E"/>
    <w:rsid w:val="00271F06"/>
    <w:rsid w:val="0027239B"/>
    <w:rsid w:val="0027247F"/>
    <w:rsid w:val="00272736"/>
    <w:rsid w:val="00273461"/>
    <w:rsid w:val="002760F1"/>
    <w:rsid w:val="0027796D"/>
    <w:rsid w:val="0028138D"/>
    <w:rsid w:val="00282844"/>
    <w:rsid w:val="00282DEC"/>
    <w:rsid w:val="00282E02"/>
    <w:rsid w:val="002834C0"/>
    <w:rsid w:val="00284063"/>
    <w:rsid w:val="0028495B"/>
    <w:rsid w:val="0028556D"/>
    <w:rsid w:val="002867A1"/>
    <w:rsid w:val="0028762B"/>
    <w:rsid w:val="00287C41"/>
    <w:rsid w:val="00291685"/>
    <w:rsid w:val="0029379A"/>
    <w:rsid w:val="00296119"/>
    <w:rsid w:val="00296A67"/>
    <w:rsid w:val="00296D65"/>
    <w:rsid w:val="00297CF7"/>
    <w:rsid w:val="002A01C9"/>
    <w:rsid w:val="002A071B"/>
    <w:rsid w:val="002A14A4"/>
    <w:rsid w:val="002A1A8C"/>
    <w:rsid w:val="002A38CF"/>
    <w:rsid w:val="002A3EF4"/>
    <w:rsid w:val="002A4173"/>
    <w:rsid w:val="002A43C4"/>
    <w:rsid w:val="002A4654"/>
    <w:rsid w:val="002A5164"/>
    <w:rsid w:val="002A5621"/>
    <w:rsid w:val="002A5EF6"/>
    <w:rsid w:val="002A6D92"/>
    <w:rsid w:val="002A7945"/>
    <w:rsid w:val="002B017A"/>
    <w:rsid w:val="002B24B8"/>
    <w:rsid w:val="002B4C83"/>
    <w:rsid w:val="002B7160"/>
    <w:rsid w:val="002B7172"/>
    <w:rsid w:val="002B735D"/>
    <w:rsid w:val="002C0C3C"/>
    <w:rsid w:val="002C207C"/>
    <w:rsid w:val="002C2CC2"/>
    <w:rsid w:val="002C31EB"/>
    <w:rsid w:val="002C3910"/>
    <w:rsid w:val="002C3A4F"/>
    <w:rsid w:val="002C457F"/>
    <w:rsid w:val="002C6792"/>
    <w:rsid w:val="002C69B7"/>
    <w:rsid w:val="002C73D3"/>
    <w:rsid w:val="002C7942"/>
    <w:rsid w:val="002C7A28"/>
    <w:rsid w:val="002C7B08"/>
    <w:rsid w:val="002D01A4"/>
    <w:rsid w:val="002D01DA"/>
    <w:rsid w:val="002D1FAA"/>
    <w:rsid w:val="002D2646"/>
    <w:rsid w:val="002D29D6"/>
    <w:rsid w:val="002D3C8E"/>
    <w:rsid w:val="002D4ED6"/>
    <w:rsid w:val="002D53E8"/>
    <w:rsid w:val="002D549E"/>
    <w:rsid w:val="002D729D"/>
    <w:rsid w:val="002D7EC7"/>
    <w:rsid w:val="002E0081"/>
    <w:rsid w:val="002E0403"/>
    <w:rsid w:val="002E1450"/>
    <w:rsid w:val="002E1D17"/>
    <w:rsid w:val="002E49E9"/>
    <w:rsid w:val="002E6022"/>
    <w:rsid w:val="002E6531"/>
    <w:rsid w:val="002F0B38"/>
    <w:rsid w:val="002F24AA"/>
    <w:rsid w:val="002F5012"/>
    <w:rsid w:val="002F622B"/>
    <w:rsid w:val="002F7C7C"/>
    <w:rsid w:val="00300AD7"/>
    <w:rsid w:val="00301335"/>
    <w:rsid w:val="0030134B"/>
    <w:rsid w:val="00301477"/>
    <w:rsid w:val="0030247E"/>
    <w:rsid w:val="00302C06"/>
    <w:rsid w:val="0030324F"/>
    <w:rsid w:val="00305AFF"/>
    <w:rsid w:val="003069C1"/>
    <w:rsid w:val="00306AF2"/>
    <w:rsid w:val="00307D91"/>
    <w:rsid w:val="0031169A"/>
    <w:rsid w:val="00311AF1"/>
    <w:rsid w:val="0031336F"/>
    <w:rsid w:val="003145B5"/>
    <w:rsid w:val="00314EE3"/>
    <w:rsid w:val="00314F24"/>
    <w:rsid w:val="00315C19"/>
    <w:rsid w:val="003174CE"/>
    <w:rsid w:val="003201ED"/>
    <w:rsid w:val="00320D80"/>
    <w:rsid w:val="00320DB8"/>
    <w:rsid w:val="0032547B"/>
    <w:rsid w:val="00325944"/>
    <w:rsid w:val="003259D0"/>
    <w:rsid w:val="003264BF"/>
    <w:rsid w:val="00330149"/>
    <w:rsid w:val="00331144"/>
    <w:rsid w:val="00331E4A"/>
    <w:rsid w:val="0033206E"/>
    <w:rsid w:val="0033231C"/>
    <w:rsid w:val="0033255E"/>
    <w:rsid w:val="00335900"/>
    <w:rsid w:val="00335FFE"/>
    <w:rsid w:val="00340EA3"/>
    <w:rsid w:val="0034100B"/>
    <w:rsid w:val="00342041"/>
    <w:rsid w:val="00342EFE"/>
    <w:rsid w:val="00346719"/>
    <w:rsid w:val="0034680E"/>
    <w:rsid w:val="003470B1"/>
    <w:rsid w:val="003471CE"/>
    <w:rsid w:val="00347B20"/>
    <w:rsid w:val="00347BFB"/>
    <w:rsid w:val="0035139A"/>
    <w:rsid w:val="00352F6C"/>
    <w:rsid w:val="003538D4"/>
    <w:rsid w:val="0035397B"/>
    <w:rsid w:val="003548F2"/>
    <w:rsid w:val="00356E4E"/>
    <w:rsid w:val="00357AF3"/>
    <w:rsid w:val="00357C92"/>
    <w:rsid w:val="00357FF6"/>
    <w:rsid w:val="00360752"/>
    <w:rsid w:val="003619D7"/>
    <w:rsid w:val="00362280"/>
    <w:rsid w:val="0036419C"/>
    <w:rsid w:val="00365054"/>
    <w:rsid w:val="00366311"/>
    <w:rsid w:val="00366691"/>
    <w:rsid w:val="003704A1"/>
    <w:rsid w:val="00373F22"/>
    <w:rsid w:val="00374D34"/>
    <w:rsid w:val="003752A4"/>
    <w:rsid w:val="00377415"/>
    <w:rsid w:val="003777B0"/>
    <w:rsid w:val="0038020D"/>
    <w:rsid w:val="0038047A"/>
    <w:rsid w:val="003804C1"/>
    <w:rsid w:val="003805B7"/>
    <w:rsid w:val="0038078D"/>
    <w:rsid w:val="003808BE"/>
    <w:rsid w:val="00380F97"/>
    <w:rsid w:val="00383663"/>
    <w:rsid w:val="003842F5"/>
    <w:rsid w:val="00384ED6"/>
    <w:rsid w:val="00385F34"/>
    <w:rsid w:val="00386C71"/>
    <w:rsid w:val="00386D30"/>
    <w:rsid w:val="003875A8"/>
    <w:rsid w:val="00387871"/>
    <w:rsid w:val="00390C08"/>
    <w:rsid w:val="00394F60"/>
    <w:rsid w:val="00395AE9"/>
    <w:rsid w:val="003960DB"/>
    <w:rsid w:val="0039646D"/>
    <w:rsid w:val="003966AE"/>
    <w:rsid w:val="00396C59"/>
    <w:rsid w:val="00397D7C"/>
    <w:rsid w:val="003A1727"/>
    <w:rsid w:val="003A2E19"/>
    <w:rsid w:val="003A4E78"/>
    <w:rsid w:val="003A53C4"/>
    <w:rsid w:val="003A53DD"/>
    <w:rsid w:val="003A673A"/>
    <w:rsid w:val="003A77D1"/>
    <w:rsid w:val="003A7A9E"/>
    <w:rsid w:val="003B0F6C"/>
    <w:rsid w:val="003B13D0"/>
    <w:rsid w:val="003B1A77"/>
    <w:rsid w:val="003B435E"/>
    <w:rsid w:val="003B4B1A"/>
    <w:rsid w:val="003B5606"/>
    <w:rsid w:val="003B6241"/>
    <w:rsid w:val="003B75BB"/>
    <w:rsid w:val="003B7892"/>
    <w:rsid w:val="003B7E9B"/>
    <w:rsid w:val="003C02B9"/>
    <w:rsid w:val="003C0646"/>
    <w:rsid w:val="003C2657"/>
    <w:rsid w:val="003C2F01"/>
    <w:rsid w:val="003C347C"/>
    <w:rsid w:val="003C3DE9"/>
    <w:rsid w:val="003C442D"/>
    <w:rsid w:val="003C5D96"/>
    <w:rsid w:val="003D0E78"/>
    <w:rsid w:val="003D1257"/>
    <w:rsid w:val="003D1CFD"/>
    <w:rsid w:val="003D1D7B"/>
    <w:rsid w:val="003D2455"/>
    <w:rsid w:val="003D5B9E"/>
    <w:rsid w:val="003D7007"/>
    <w:rsid w:val="003E0819"/>
    <w:rsid w:val="003E08E8"/>
    <w:rsid w:val="003E0967"/>
    <w:rsid w:val="003E0BF8"/>
    <w:rsid w:val="003E1782"/>
    <w:rsid w:val="003E19FC"/>
    <w:rsid w:val="003E23F0"/>
    <w:rsid w:val="003E3699"/>
    <w:rsid w:val="003E5331"/>
    <w:rsid w:val="003E6215"/>
    <w:rsid w:val="003E62FD"/>
    <w:rsid w:val="003F0F08"/>
    <w:rsid w:val="003F3A1F"/>
    <w:rsid w:val="003F6812"/>
    <w:rsid w:val="003F7B4C"/>
    <w:rsid w:val="003F7D78"/>
    <w:rsid w:val="0040125F"/>
    <w:rsid w:val="00402C8B"/>
    <w:rsid w:val="0040308B"/>
    <w:rsid w:val="00403DD4"/>
    <w:rsid w:val="00404616"/>
    <w:rsid w:val="00404E30"/>
    <w:rsid w:val="00405DAD"/>
    <w:rsid w:val="00406A31"/>
    <w:rsid w:val="00407A89"/>
    <w:rsid w:val="004100EB"/>
    <w:rsid w:val="0041202A"/>
    <w:rsid w:val="00413004"/>
    <w:rsid w:val="004131D4"/>
    <w:rsid w:val="00414909"/>
    <w:rsid w:val="00415E15"/>
    <w:rsid w:val="00417F16"/>
    <w:rsid w:val="00420F23"/>
    <w:rsid w:val="00421E18"/>
    <w:rsid w:val="00422078"/>
    <w:rsid w:val="00422708"/>
    <w:rsid w:val="00422ED0"/>
    <w:rsid w:val="00422FD8"/>
    <w:rsid w:val="00424CB4"/>
    <w:rsid w:val="00426D24"/>
    <w:rsid w:val="00427681"/>
    <w:rsid w:val="00427FEE"/>
    <w:rsid w:val="0043025A"/>
    <w:rsid w:val="004302A8"/>
    <w:rsid w:val="0043178B"/>
    <w:rsid w:val="00433FC2"/>
    <w:rsid w:val="00434211"/>
    <w:rsid w:val="00434697"/>
    <w:rsid w:val="00435A48"/>
    <w:rsid w:val="0043729D"/>
    <w:rsid w:val="004378CE"/>
    <w:rsid w:val="00437CB1"/>
    <w:rsid w:val="004412F8"/>
    <w:rsid w:val="004414C4"/>
    <w:rsid w:val="00441EF3"/>
    <w:rsid w:val="00442979"/>
    <w:rsid w:val="00443CFF"/>
    <w:rsid w:val="00443D37"/>
    <w:rsid w:val="00443EF6"/>
    <w:rsid w:val="004440F3"/>
    <w:rsid w:val="004456AE"/>
    <w:rsid w:val="00445C59"/>
    <w:rsid w:val="00446BB2"/>
    <w:rsid w:val="00446E51"/>
    <w:rsid w:val="00446F71"/>
    <w:rsid w:val="0044744F"/>
    <w:rsid w:val="0044748B"/>
    <w:rsid w:val="00447D79"/>
    <w:rsid w:val="004507A7"/>
    <w:rsid w:val="00450DD4"/>
    <w:rsid w:val="00452B02"/>
    <w:rsid w:val="00453BB9"/>
    <w:rsid w:val="00453FEC"/>
    <w:rsid w:val="00454033"/>
    <w:rsid w:val="00454251"/>
    <w:rsid w:val="004544E8"/>
    <w:rsid w:val="004548C0"/>
    <w:rsid w:val="004555F4"/>
    <w:rsid w:val="00457812"/>
    <w:rsid w:val="004613F4"/>
    <w:rsid w:val="004616EB"/>
    <w:rsid w:val="00461C58"/>
    <w:rsid w:val="00462358"/>
    <w:rsid w:val="004629B1"/>
    <w:rsid w:val="00462DC6"/>
    <w:rsid w:val="00463C32"/>
    <w:rsid w:val="00464444"/>
    <w:rsid w:val="00464553"/>
    <w:rsid w:val="004646FF"/>
    <w:rsid w:val="00464E9D"/>
    <w:rsid w:val="00466C84"/>
    <w:rsid w:val="00466E61"/>
    <w:rsid w:val="004708EA"/>
    <w:rsid w:val="00471DB3"/>
    <w:rsid w:val="0047228C"/>
    <w:rsid w:val="00472411"/>
    <w:rsid w:val="004725C8"/>
    <w:rsid w:val="004739BD"/>
    <w:rsid w:val="00473A92"/>
    <w:rsid w:val="0047426F"/>
    <w:rsid w:val="0047493E"/>
    <w:rsid w:val="00477111"/>
    <w:rsid w:val="004779E5"/>
    <w:rsid w:val="00480031"/>
    <w:rsid w:val="004806AE"/>
    <w:rsid w:val="00482EDA"/>
    <w:rsid w:val="00484FCC"/>
    <w:rsid w:val="00485A3D"/>
    <w:rsid w:val="00485E85"/>
    <w:rsid w:val="004869D5"/>
    <w:rsid w:val="004870D6"/>
    <w:rsid w:val="00487C8A"/>
    <w:rsid w:val="00490FE0"/>
    <w:rsid w:val="00491383"/>
    <w:rsid w:val="004916A8"/>
    <w:rsid w:val="0049197A"/>
    <w:rsid w:val="004927FF"/>
    <w:rsid w:val="00493E44"/>
    <w:rsid w:val="004941CE"/>
    <w:rsid w:val="00494385"/>
    <w:rsid w:val="00496571"/>
    <w:rsid w:val="0049657F"/>
    <w:rsid w:val="004965EA"/>
    <w:rsid w:val="004A0365"/>
    <w:rsid w:val="004A0D74"/>
    <w:rsid w:val="004A1488"/>
    <w:rsid w:val="004A16C0"/>
    <w:rsid w:val="004A227D"/>
    <w:rsid w:val="004A4D58"/>
    <w:rsid w:val="004A68E9"/>
    <w:rsid w:val="004A6F63"/>
    <w:rsid w:val="004A71AA"/>
    <w:rsid w:val="004A7F48"/>
    <w:rsid w:val="004B1BA3"/>
    <w:rsid w:val="004B2126"/>
    <w:rsid w:val="004B23CB"/>
    <w:rsid w:val="004B300A"/>
    <w:rsid w:val="004B43CC"/>
    <w:rsid w:val="004B6290"/>
    <w:rsid w:val="004B703B"/>
    <w:rsid w:val="004B70A9"/>
    <w:rsid w:val="004B775A"/>
    <w:rsid w:val="004C0A33"/>
    <w:rsid w:val="004C0CD7"/>
    <w:rsid w:val="004C1009"/>
    <w:rsid w:val="004C205F"/>
    <w:rsid w:val="004C38E0"/>
    <w:rsid w:val="004C4B04"/>
    <w:rsid w:val="004C4DB0"/>
    <w:rsid w:val="004C51ED"/>
    <w:rsid w:val="004C53A8"/>
    <w:rsid w:val="004C667D"/>
    <w:rsid w:val="004C6EBD"/>
    <w:rsid w:val="004C6FBF"/>
    <w:rsid w:val="004C74F6"/>
    <w:rsid w:val="004D15B7"/>
    <w:rsid w:val="004D1E9D"/>
    <w:rsid w:val="004D2D29"/>
    <w:rsid w:val="004D7376"/>
    <w:rsid w:val="004D7B83"/>
    <w:rsid w:val="004E0358"/>
    <w:rsid w:val="004E06C1"/>
    <w:rsid w:val="004E14E8"/>
    <w:rsid w:val="004E1BC1"/>
    <w:rsid w:val="004E257C"/>
    <w:rsid w:val="004E3323"/>
    <w:rsid w:val="004E3D1C"/>
    <w:rsid w:val="004E3FFC"/>
    <w:rsid w:val="004E5111"/>
    <w:rsid w:val="004E5411"/>
    <w:rsid w:val="004E5474"/>
    <w:rsid w:val="004E639F"/>
    <w:rsid w:val="004F0C14"/>
    <w:rsid w:val="004F25B5"/>
    <w:rsid w:val="004F26D5"/>
    <w:rsid w:val="004F34BE"/>
    <w:rsid w:val="004F3664"/>
    <w:rsid w:val="004F5F2D"/>
    <w:rsid w:val="004F5F42"/>
    <w:rsid w:val="004F6DC8"/>
    <w:rsid w:val="004F7F6C"/>
    <w:rsid w:val="0050004A"/>
    <w:rsid w:val="00500233"/>
    <w:rsid w:val="00503FC5"/>
    <w:rsid w:val="00506251"/>
    <w:rsid w:val="00506333"/>
    <w:rsid w:val="00507CF7"/>
    <w:rsid w:val="00507F30"/>
    <w:rsid w:val="005104B1"/>
    <w:rsid w:val="0051151F"/>
    <w:rsid w:val="005133EE"/>
    <w:rsid w:val="005145C5"/>
    <w:rsid w:val="005148B0"/>
    <w:rsid w:val="00514E03"/>
    <w:rsid w:val="00515194"/>
    <w:rsid w:val="0051689A"/>
    <w:rsid w:val="00516C64"/>
    <w:rsid w:val="00520452"/>
    <w:rsid w:val="0052050F"/>
    <w:rsid w:val="00521063"/>
    <w:rsid w:val="00521571"/>
    <w:rsid w:val="00521EC7"/>
    <w:rsid w:val="005221B1"/>
    <w:rsid w:val="00522465"/>
    <w:rsid w:val="0052250D"/>
    <w:rsid w:val="00522F9E"/>
    <w:rsid w:val="005236AF"/>
    <w:rsid w:val="00523EDF"/>
    <w:rsid w:val="00524481"/>
    <w:rsid w:val="00524E55"/>
    <w:rsid w:val="00525787"/>
    <w:rsid w:val="00525B22"/>
    <w:rsid w:val="00526C8E"/>
    <w:rsid w:val="00530284"/>
    <w:rsid w:val="0053108A"/>
    <w:rsid w:val="00532918"/>
    <w:rsid w:val="00533C7E"/>
    <w:rsid w:val="00533FCD"/>
    <w:rsid w:val="00535373"/>
    <w:rsid w:val="00535990"/>
    <w:rsid w:val="0054065B"/>
    <w:rsid w:val="0054095E"/>
    <w:rsid w:val="00541B27"/>
    <w:rsid w:val="00541D47"/>
    <w:rsid w:val="005423E5"/>
    <w:rsid w:val="00543805"/>
    <w:rsid w:val="00543FA0"/>
    <w:rsid w:val="005453DA"/>
    <w:rsid w:val="00545801"/>
    <w:rsid w:val="00547391"/>
    <w:rsid w:val="00551EDA"/>
    <w:rsid w:val="0055216E"/>
    <w:rsid w:val="005523AF"/>
    <w:rsid w:val="00553195"/>
    <w:rsid w:val="0055379C"/>
    <w:rsid w:val="00553991"/>
    <w:rsid w:val="005543D8"/>
    <w:rsid w:val="005544B0"/>
    <w:rsid w:val="0055473A"/>
    <w:rsid w:val="005547ED"/>
    <w:rsid w:val="00554B23"/>
    <w:rsid w:val="00554D90"/>
    <w:rsid w:val="00557FFB"/>
    <w:rsid w:val="005626E8"/>
    <w:rsid w:val="005627BF"/>
    <w:rsid w:val="00562F49"/>
    <w:rsid w:val="00563087"/>
    <w:rsid w:val="00563140"/>
    <w:rsid w:val="00564ABD"/>
    <w:rsid w:val="00566CA5"/>
    <w:rsid w:val="00567013"/>
    <w:rsid w:val="0056756A"/>
    <w:rsid w:val="00567BC0"/>
    <w:rsid w:val="00567DB9"/>
    <w:rsid w:val="00571EAC"/>
    <w:rsid w:val="00572573"/>
    <w:rsid w:val="00572C35"/>
    <w:rsid w:val="005735E2"/>
    <w:rsid w:val="00573E44"/>
    <w:rsid w:val="00574D25"/>
    <w:rsid w:val="00575334"/>
    <w:rsid w:val="00575C1A"/>
    <w:rsid w:val="005763C3"/>
    <w:rsid w:val="0057650A"/>
    <w:rsid w:val="00576969"/>
    <w:rsid w:val="0057722A"/>
    <w:rsid w:val="005779D4"/>
    <w:rsid w:val="00583184"/>
    <w:rsid w:val="00583D07"/>
    <w:rsid w:val="0058474A"/>
    <w:rsid w:val="0058548A"/>
    <w:rsid w:val="00585A18"/>
    <w:rsid w:val="00585A99"/>
    <w:rsid w:val="0058631A"/>
    <w:rsid w:val="00586794"/>
    <w:rsid w:val="00587099"/>
    <w:rsid w:val="005908E9"/>
    <w:rsid w:val="00590B43"/>
    <w:rsid w:val="00590DB4"/>
    <w:rsid w:val="00590E5E"/>
    <w:rsid w:val="00591B6B"/>
    <w:rsid w:val="005922D6"/>
    <w:rsid w:val="005924AF"/>
    <w:rsid w:val="0059585C"/>
    <w:rsid w:val="00597323"/>
    <w:rsid w:val="005A0163"/>
    <w:rsid w:val="005A0708"/>
    <w:rsid w:val="005A0795"/>
    <w:rsid w:val="005A07B7"/>
    <w:rsid w:val="005A0D33"/>
    <w:rsid w:val="005A179C"/>
    <w:rsid w:val="005A1F82"/>
    <w:rsid w:val="005A22BB"/>
    <w:rsid w:val="005A2AB3"/>
    <w:rsid w:val="005A2F78"/>
    <w:rsid w:val="005A3ACC"/>
    <w:rsid w:val="005A45B8"/>
    <w:rsid w:val="005A60DC"/>
    <w:rsid w:val="005A70C1"/>
    <w:rsid w:val="005A721D"/>
    <w:rsid w:val="005A75F1"/>
    <w:rsid w:val="005B041D"/>
    <w:rsid w:val="005B042B"/>
    <w:rsid w:val="005B0779"/>
    <w:rsid w:val="005B093D"/>
    <w:rsid w:val="005B193E"/>
    <w:rsid w:val="005B2AEB"/>
    <w:rsid w:val="005B4BDF"/>
    <w:rsid w:val="005B55E7"/>
    <w:rsid w:val="005B5B23"/>
    <w:rsid w:val="005B6AB6"/>
    <w:rsid w:val="005C01D2"/>
    <w:rsid w:val="005C0C3F"/>
    <w:rsid w:val="005C226A"/>
    <w:rsid w:val="005C54BC"/>
    <w:rsid w:val="005C6F50"/>
    <w:rsid w:val="005D20F4"/>
    <w:rsid w:val="005D278C"/>
    <w:rsid w:val="005D2838"/>
    <w:rsid w:val="005D2897"/>
    <w:rsid w:val="005D3AE4"/>
    <w:rsid w:val="005D4B44"/>
    <w:rsid w:val="005D5374"/>
    <w:rsid w:val="005D5B22"/>
    <w:rsid w:val="005D63E0"/>
    <w:rsid w:val="005D67CA"/>
    <w:rsid w:val="005E06F2"/>
    <w:rsid w:val="005E0847"/>
    <w:rsid w:val="005E102E"/>
    <w:rsid w:val="005E1C99"/>
    <w:rsid w:val="005E25C5"/>
    <w:rsid w:val="005E2B08"/>
    <w:rsid w:val="005E3851"/>
    <w:rsid w:val="005E5767"/>
    <w:rsid w:val="005E7C02"/>
    <w:rsid w:val="005F1376"/>
    <w:rsid w:val="005F20C8"/>
    <w:rsid w:val="005F328F"/>
    <w:rsid w:val="005F359F"/>
    <w:rsid w:val="0060071D"/>
    <w:rsid w:val="00601972"/>
    <w:rsid w:val="00603D8D"/>
    <w:rsid w:val="00605270"/>
    <w:rsid w:val="00605C1E"/>
    <w:rsid w:val="006067BD"/>
    <w:rsid w:val="00610823"/>
    <w:rsid w:val="00610868"/>
    <w:rsid w:val="006110D2"/>
    <w:rsid w:val="00611687"/>
    <w:rsid w:val="00611F33"/>
    <w:rsid w:val="0061281D"/>
    <w:rsid w:val="00614D4E"/>
    <w:rsid w:val="006164C5"/>
    <w:rsid w:val="00616DAA"/>
    <w:rsid w:val="006202ED"/>
    <w:rsid w:val="006206E8"/>
    <w:rsid w:val="00621107"/>
    <w:rsid w:val="00622050"/>
    <w:rsid w:val="006226A0"/>
    <w:rsid w:val="006229B3"/>
    <w:rsid w:val="00623BC8"/>
    <w:rsid w:val="00624441"/>
    <w:rsid w:val="00625F2E"/>
    <w:rsid w:val="00627909"/>
    <w:rsid w:val="00630969"/>
    <w:rsid w:val="00630F21"/>
    <w:rsid w:val="0063248D"/>
    <w:rsid w:val="00632B8C"/>
    <w:rsid w:val="00632C95"/>
    <w:rsid w:val="00632D7B"/>
    <w:rsid w:val="00632E1E"/>
    <w:rsid w:val="006344B4"/>
    <w:rsid w:val="0063668E"/>
    <w:rsid w:val="00636C05"/>
    <w:rsid w:val="00640AB1"/>
    <w:rsid w:val="006429E5"/>
    <w:rsid w:val="00642A86"/>
    <w:rsid w:val="00643DC9"/>
    <w:rsid w:val="00645999"/>
    <w:rsid w:val="006469A4"/>
    <w:rsid w:val="00647453"/>
    <w:rsid w:val="00647718"/>
    <w:rsid w:val="00647E94"/>
    <w:rsid w:val="0065024D"/>
    <w:rsid w:val="006517D3"/>
    <w:rsid w:val="006523EA"/>
    <w:rsid w:val="00653E04"/>
    <w:rsid w:val="00654F11"/>
    <w:rsid w:val="00655D5B"/>
    <w:rsid w:val="00656AAB"/>
    <w:rsid w:val="006575F7"/>
    <w:rsid w:val="006604AE"/>
    <w:rsid w:val="006605E1"/>
    <w:rsid w:val="00660B64"/>
    <w:rsid w:val="0066267A"/>
    <w:rsid w:val="0066322F"/>
    <w:rsid w:val="006642D7"/>
    <w:rsid w:val="00665C51"/>
    <w:rsid w:val="00666AB8"/>
    <w:rsid w:val="006676EF"/>
    <w:rsid w:val="00670805"/>
    <w:rsid w:val="00671B06"/>
    <w:rsid w:val="00672621"/>
    <w:rsid w:val="00672998"/>
    <w:rsid w:val="00673ECC"/>
    <w:rsid w:val="0067463D"/>
    <w:rsid w:val="00675D15"/>
    <w:rsid w:val="00675EF0"/>
    <w:rsid w:val="00675F99"/>
    <w:rsid w:val="0067698B"/>
    <w:rsid w:val="006806E3"/>
    <w:rsid w:val="00682ECE"/>
    <w:rsid w:val="00683750"/>
    <w:rsid w:val="00684555"/>
    <w:rsid w:val="00684ADE"/>
    <w:rsid w:val="00684B39"/>
    <w:rsid w:val="00684DCA"/>
    <w:rsid w:val="00685C83"/>
    <w:rsid w:val="006872BE"/>
    <w:rsid w:val="00687FAC"/>
    <w:rsid w:val="00690F06"/>
    <w:rsid w:val="00693C94"/>
    <w:rsid w:val="00694042"/>
    <w:rsid w:val="0069500C"/>
    <w:rsid w:val="00696BF1"/>
    <w:rsid w:val="006978E7"/>
    <w:rsid w:val="006A0FFD"/>
    <w:rsid w:val="006A3587"/>
    <w:rsid w:val="006A41A5"/>
    <w:rsid w:val="006A4C81"/>
    <w:rsid w:val="006A529B"/>
    <w:rsid w:val="006A5570"/>
    <w:rsid w:val="006A569B"/>
    <w:rsid w:val="006B0128"/>
    <w:rsid w:val="006B1E07"/>
    <w:rsid w:val="006B294F"/>
    <w:rsid w:val="006B3281"/>
    <w:rsid w:val="006B4E05"/>
    <w:rsid w:val="006B5580"/>
    <w:rsid w:val="006B56E4"/>
    <w:rsid w:val="006B5E6A"/>
    <w:rsid w:val="006B7F7E"/>
    <w:rsid w:val="006C0A79"/>
    <w:rsid w:val="006C3495"/>
    <w:rsid w:val="006C4E9D"/>
    <w:rsid w:val="006C4FEA"/>
    <w:rsid w:val="006C567C"/>
    <w:rsid w:val="006C5876"/>
    <w:rsid w:val="006C5ED8"/>
    <w:rsid w:val="006C6890"/>
    <w:rsid w:val="006D0281"/>
    <w:rsid w:val="006D0BF8"/>
    <w:rsid w:val="006D0E0F"/>
    <w:rsid w:val="006D269D"/>
    <w:rsid w:val="006D2A5E"/>
    <w:rsid w:val="006D2BE6"/>
    <w:rsid w:val="006D3826"/>
    <w:rsid w:val="006D382A"/>
    <w:rsid w:val="006D3EC5"/>
    <w:rsid w:val="006D3FC5"/>
    <w:rsid w:val="006D4665"/>
    <w:rsid w:val="006D642B"/>
    <w:rsid w:val="006D6C56"/>
    <w:rsid w:val="006D6C76"/>
    <w:rsid w:val="006D6CA7"/>
    <w:rsid w:val="006D6D9C"/>
    <w:rsid w:val="006E0169"/>
    <w:rsid w:val="006E08DB"/>
    <w:rsid w:val="006E0AE1"/>
    <w:rsid w:val="006E0EF5"/>
    <w:rsid w:val="006E2EA6"/>
    <w:rsid w:val="006E504A"/>
    <w:rsid w:val="006E6399"/>
    <w:rsid w:val="006E6849"/>
    <w:rsid w:val="006E7092"/>
    <w:rsid w:val="006E7208"/>
    <w:rsid w:val="006E7794"/>
    <w:rsid w:val="006F0A51"/>
    <w:rsid w:val="006F13EE"/>
    <w:rsid w:val="006F1FC8"/>
    <w:rsid w:val="006F5AF4"/>
    <w:rsid w:val="006F5DBA"/>
    <w:rsid w:val="006F6EA9"/>
    <w:rsid w:val="006F70BB"/>
    <w:rsid w:val="006F765D"/>
    <w:rsid w:val="006F7F3E"/>
    <w:rsid w:val="00701794"/>
    <w:rsid w:val="00701A18"/>
    <w:rsid w:val="00703387"/>
    <w:rsid w:val="0070385A"/>
    <w:rsid w:val="00705258"/>
    <w:rsid w:val="007055FE"/>
    <w:rsid w:val="007070FF"/>
    <w:rsid w:val="0070768F"/>
    <w:rsid w:val="007117E2"/>
    <w:rsid w:val="007124A3"/>
    <w:rsid w:val="00712DFF"/>
    <w:rsid w:val="00713887"/>
    <w:rsid w:val="00714357"/>
    <w:rsid w:val="0071510E"/>
    <w:rsid w:val="007171DB"/>
    <w:rsid w:val="007177D8"/>
    <w:rsid w:val="00720AAE"/>
    <w:rsid w:val="007210AF"/>
    <w:rsid w:val="00721252"/>
    <w:rsid w:val="00722405"/>
    <w:rsid w:val="0072330F"/>
    <w:rsid w:val="00723494"/>
    <w:rsid w:val="00724A04"/>
    <w:rsid w:val="007263FD"/>
    <w:rsid w:val="00727D9A"/>
    <w:rsid w:val="0073434D"/>
    <w:rsid w:val="0073435F"/>
    <w:rsid w:val="00734EBE"/>
    <w:rsid w:val="00736426"/>
    <w:rsid w:val="00741A78"/>
    <w:rsid w:val="00741BD8"/>
    <w:rsid w:val="00742387"/>
    <w:rsid w:val="0074497F"/>
    <w:rsid w:val="007465DB"/>
    <w:rsid w:val="0074670F"/>
    <w:rsid w:val="00746DE2"/>
    <w:rsid w:val="00747DE5"/>
    <w:rsid w:val="00747F96"/>
    <w:rsid w:val="00750355"/>
    <w:rsid w:val="00751303"/>
    <w:rsid w:val="00751711"/>
    <w:rsid w:val="00751755"/>
    <w:rsid w:val="0075257D"/>
    <w:rsid w:val="00752E04"/>
    <w:rsid w:val="007544EE"/>
    <w:rsid w:val="00755052"/>
    <w:rsid w:val="007556F1"/>
    <w:rsid w:val="00756F23"/>
    <w:rsid w:val="0075798A"/>
    <w:rsid w:val="00757E91"/>
    <w:rsid w:val="007609B9"/>
    <w:rsid w:val="00761024"/>
    <w:rsid w:val="007617DF"/>
    <w:rsid w:val="007624DC"/>
    <w:rsid w:val="007646F8"/>
    <w:rsid w:val="00765FAE"/>
    <w:rsid w:val="00766861"/>
    <w:rsid w:val="00767298"/>
    <w:rsid w:val="00767395"/>
    <w:rsid w:val="00767BA4"/>
    <w:rsid w:val="0077134B"/>
    <w:rsid w:val="00773AF8"/>
    <w:rsid w:val="00773BBB"/>
    <w:rsid w:val="00774033"/>
    <w:rsid w:val="007743CE"/>
    <w:rsid w:val="00775E5B"/>
    <w:rsid w:val="00775FBF"/>
    <w:rsid w:val="00777306"/>
    <w:rsid w:val="007774FB"/>
    <w:rsid w:val="00780944"/>
    <w:rsid w:val="00780DAD"/>
    <w:rsid w:val="00780F7E"/>
    <w:rsid w:val="00783420"/>
    <w:rsid w:val="00783E4B"/>
    <w:rsid w:val="00784B12"/>
    <w:rsid w:val="00785137"/>
    <w:rsid w:val="00785EC5"/>
    <w:rsid w:val="007866A0"/>
    <w:rsid w:val="00786FB3"/>
    <w:rsid w:val="00790055"/>
    <w:rsid w:val="00792E19"/>
    <w:rsid w:val="007954FA"/>
    <w:rsid w:val="00795C74"/>
    <w:rsid w:val="00795D24"/>
    <w:rsid w:val="00797BBF"/>
    <w:rsid w:val="007A085B"/>
    <w:rsid w:val="007A0B00"/>
    <w:rsid w:val="007A123C"/>
    <w:rsid w:val="007A1EDB"/>
    <w:rsid w:val="007A231A"/>
    <w:rsid w:val="007A278B"/>
    <w:rsid w:val="007A2DA7"/>
    <w:rsid w:val="007A2E6D"/>
    <w:rsid w:val="007A3991"/>
    <w:rsid w:val="007A53ED"/>
    <w:rsid w:val="007A5E69"/>
    <w:rsid w:val="007A7BE5"/>
    <w:rsid w:val="007B03F4"/>
    <w:rsid w:val="007B1F10"/>
    <w:rsid w:val="007B2004"/>
    <w:rsid w:val="007B2176"/>
    <w:rsid w:val="007B4477"/>
    <w:rsid w:val="007B4D66"/>
    <w:rsid w:val="007B5801"/>
    <w:rsid w:val="007B5987"/>
    <w:rsid w:val="007B6C47"/>
    <w:rsid w:val="007B7AF0"/>
    <w:rsid w:val="007C02EB"/>
    <w:rsid w:val="007C1568"/>
    <w:rsid w:val="007C15F8"/>
    <w:rsid w:val="007C28E5"/>
    <w:rsid w:val="007C2B08"/>
    <w:rsid w:val="007C2BBE"/>
    <w:rsid w:val="007C2CBB"/>
    <w:rsid w:val="007C2E4A"/>
    <w:rsid w:val="007C54C0"/>
    <w:rsid w:val="007C655F"/>
    <w:rsid w:val="007C6991"/>
    <w:rsid w:val="007C7036"/>
    <w:rsid w:val="007C7F67"/>
    <w:rsid w:val="007D00ED"/>
    <w:rsid w:val="007D06DB"/>
    <w:rsid w:val="007D0A17"/>
    <w:rsid w:val="007D1AA9"/>
    <w:rsid w:val="007D2590"/>
    <w:rsid w:val="007D2D4F"/>
    <w:rsid w:val="007D2D9F"/>
    <w:rsid w:val="007D3362"/>
    <w:rsid w:val="007D3C5D"/>
    <w:rsid w:val="007D3FDB"/>
    <w:rsid w:val="007D4945"/>
    <w:rsid w:val="007D60F1"/>
    <w:rsid w:val="007D6613"/>
    <w:rsid w:val="007D72D4"/>
    <w:rsid w:val="007D75F8"/>
    <w:rsid w:val="007E082B"/>
    <w:rsid w:val="007E10B7"/>
    <w:rsid w:val="007E12C4"/>
    <w:rsid w:val="007E4BD0"/>
    <w:rsid w:val="007F1F7B"/>
    <w:rsid w:val="007F250F"/>
    <w:rsid w:val="007F2AFA"/>
    <w:rsid w:val="007F3C85"/>
    <w:rsid w:val="007F527C"/>
    <w:rsid w:val="007F7B02"/>
    <w:rsid w:val="00800071"/>
    <w:rsid w:val="00800CFA"/>
    <w:rsid w:val="0080197D"/>
    <w:rsid w:val="00802BB7"/>
    <w:rsid w:val="00802C9F"/>
    <w:rsid w:val="00803687"/>
    <w:rsid w:val="00804D82"/>
    <w:rsid w:val="008062A2"/>
    <w:rsid w:val="00807B61"/>
    <w:rsid w:val="00810222"/>
    <w:rsid w:val="00810A59"/>
    <w:rsid w:val="00812F43"/>
    <w:rsid w:val="008156CC"/>
    <w:rsid w:val="00816D4B"/>
    <w:rsid w:val="008202D0"/>
    <w:rsid w:val="008215C1"/>
    <w:rsid w:val="00822764"/>
    <w:rsid w:val="008229E6"/>
    <w:rsid w:val="00824DC1"/>
    <w:rsid w:val="00825BBF"/>
    <w:rsid w:val="00825C82"/>
    <w:rsid w:val="008266A4"/>
    <w:rsid w:val="008300A5"/>
    <w:rsid w:val="00830BBC"/>
    <w:rsid w:val="00831763"/>
    <w:rsid w:val="00831981"/>
    <w:rsid w:val="00831B65"/>
    <w:rsid w:val="0083201F"/>
    <w:rsid w:val="00832D4E"/>
    <w:rsid w:val="008330E4"/>
    <w:rsid w:val="0083415E"/>
    <w:rsid w:val="0083496B"/>
    <w:rsid w:val="0083568C"/>
    <w:rsid w:val="008363DE"/>
    <w:rsid w:val="00836B0A"/>
    <w:rsid w:val="00836BB4"/>
    <w:rsid w:val="00837D35"/>
    <w:rsid w:val="008400ED"/>
    <w:rsid w:val="00840480"/>
    <w:rsid w:val="008406D5"/>
    <w:rsid w:val="008425D4"/>
    <w:rsid w:val="00842791"/>
    <w:rsid w:val="00842E61"/>
    <w:rsid w:val="00843077"/>
    <w:rsid w:val="0084740A"/>
    <w:rsid w:val="00847E89"/>
    <w:rsid w:val="00850066"/>
    <w:rsid w:val="0085179C"/>
    <w:rsid w:val="008527A0"/>
    <w:rsid w:val="0085340C"/>
    <w:rsid w:val="00853BEA"/>
    <w:rsid w:val="0085452E"/>
    <w:rsid w:val="00854EB1"/>
    <w:rsid w:val="008553F1"/>
    <w:rsid w:val="00855407"/>
    <w:rsid w:val="0085540E"/>
    <w:rsid w:val="00855434"/>
    <w:rsid w:val="00856681"/>
    <w:rsid w:val="0085763E"/>
    <w:rsid w:val="00860FE3"/>
    <w:rsid w:val="00861C7E"/>
    <w:rsid w:val="008626D8"/>
    <w:rsid w:val="00862732"/>
    <w:rsid w:val="00862CAA"/>
    <w:rsid w:val="00865276"/>
    <w:rsid w:val="0086736A"/>
    <w:rsid w:val="00867655"/>
    <w:rsid w:val="00870017"/>
    <w:rsid w:val="0087023A"/>
    <w:rsid w:val="00870286"/>
    <w:rsid w:val="00872079"/>
    <w:rsid w:val="008724B6"/>
    <w:rsid w:val="00872B09"/>
    <w:rsid w:val="0087310D"/>
    <w:rsid w:val="0087352B"/>
    <w:rsid w:val="00874987"/>
    <w:rsid w:val="00874EC4"/>
    <w:rsid w:val="0087525A"/>
    <w:rsid w:val="0087718B"/>
    <w:rsid w:val="008809B4"/>
    <w:rsid w:val="00880E4F"/>
    <w:rsid w:val="00880E7D"/>
    <w:rsid w:val="00880FBE"/>
    <w:rsid w:val="00880FF7"/>
    <w:rsid w:val="008816E2"/>
    <w:rsid w:val="008828E2"/>
    <w:rsid w:val="00884103"/>
    <w:rsid w:val="0088475C"/>
    <w:rsid w:val="0088581F"/>
    <w:rsid w:val="008863A7"/>
    <w:rsid w:val="00886533"/>
    <w:rsid w:val="008866EE"/>
    <w:rsid w:val="00887241"/>
    <w:rsid w:val="008872F1"/>
    <w:rsid w:val="0088739B"/>
    <w:rsid w:val="0088778E"/>
    <w:rsid w:val="00887DC0"/>
    <w:rsid w:val="00890250"/>
    <w:rsid w:val="00892643"/>
    <w:rsid w:val="00894A49"/>
    <w:rsid w:val="00897128"/>
    <w:rsid w:val="00897A88"/>
    <w:rsid w:val="008A2345"/>
    <w:rsid w:val="008A55EE"/>
    <w:rsid w:val="008A58AE"/>
    <w:rsid w:val="008A655E"/>
    <w:rsid w:val="008A74EF"/>
    <w:rsid w:val="008B17E0"/>
    <w:rsid w:val="008B269E"/>
    <w:rsid w:val="008B302C"/>
    <w:rsid w:val="008B3189"/>
    <w:rsid w:val="008B3E16"/>
    <w:rsid w:val="008B4B95"/>
    <w:rsid w:val="008B4C42"/>
    <w:rsid w:val="008B4EC9"/>
    <w:rsid w:val="008B500B"/>
    <w:rsid w:val="008B66E2"/>
    <w:rsid w:val="008B7EE1"/>
    <w:rsid w:val="008C02D9"/>
    <w:rsid w:val="008C0623"/>
    <w:rsid w:val="008C0C65"/>
    <w:rsid w:val="008C0CBF"/>
    <w:rsid w:val="008C127A"/>
    <w:rsid w:val="008C1761"/>
    <w:rsid w:val="008C1BEB"/>
    <w:rsid w:val="008C1D89"/>
    <w:rsid w:val="008C29E0"/>
    <w:rsid w:val="008C36AF"/>
    <w:rsid w:val="008C47AB"/>
    <w:rsid w:val="008C49A3"/>
    <w:rsid w:val="008C51DC"/>
    <w:rsid w:val="008C71A1"/>
    <w:rsid w:val="008C762E"/>
    <w:rsid w:val="008C7CB1"/>
    <w:rsid w:val="008C7F3A"/>
    <w:rsid w:val="008D35C9"/>
    <w:rsid w:val="008D3750"/>
    <w:rsid w:val="008D3B0E"/>
    <w:rsid w:val="008D4169"/>
    <w:rsid w:val="008D4D02"/>
    <w:rsid w:val="008D4D05"/>
    <w:rsid w:val="008D6E8D"/>
    <w:rsid w:val="008E04B3"/>
    <w:rsid w:val="008E1601"/>
    <w:rsid w:val="008E252D"/>
    <w:rsid w:val="008E2A27"/>
    <w:rsid w:val="008E2F18"/>
    <w:rsid w:val="008E3BFC"/>
    <w:rsid w:val="008E4674"/>
    <w:rsid w:val="008E53D1"/>
    <w:rsid w:val="008E544A"/>
    <w:rsid w:val="008E54B0"/>
    <w:rsid w:val="008E5A7F"/>
    <w:rsid w:val="008E6A2C"/>
    <w:rsid w:val="008F0BE7"/>
    <w:rsid w:val="008F100F"/>
    <w:rsid w:val="008F2434"/>
    <w:rsid w:val="008F2E01"/>
    <w:rsid w:val="008F3BDE"/>
    <w:rsid w:val="008F475A"/>
    <w:rsid w:val="008F569D"/>
    <w:rsid w:val="008F628D"/>
    <w:rsid w:val="008F6C85"/>
    <w:rsid w:val="008F6EBD"/>
    <w:rsid w:val="008F7418"/>
    <w:rsid w:val="00901357"/>
    <w:rsid w:val="00902CAC"/>
    <w:rsid w:val="00904033"/>
    <w:rsid w:val="00904CFD"/>
    <w:rsid w:val="00905170"/>
    <w:rsid w:val="00906156"/>
    <w:rsid w:val="00907DED"/>
    <w:rsid w:val="009114C3"/>
    <w:rsid w:val="00911A0F"/>
    <w:rsid w:val="009124BF"/>
    <w:rsid w:val="00913128"/>
    <w:rsid w:val="0091335E"/>
    <w:rsid w:val="009133D6"/>
    <w:rsid w:val="0091415A"/>
    <w:rsid w:val="009162B3"/>
    <w:rsid w:val="00916F13"/>
    <w:rsid w:val="0091742E"/>
    <w:rsid w:val="00920145"/>
    <w:rsid w:val="009202F8"/>
    <w:rsid w:val="009215E4"/>
    <w:rsid w:val="009217E3"/>
    <w:rsid w:val="00922457"/>
    <w:rsid w:val="00922B70"/>
    <w:rsid w:val="00922FC9"/>
    <w:rsid w:val="00924083"/>
    <w:rsid w:val="009242EB"/>
    <w:rsid w:val="00925D34"/>
    <w:rsid w:val="00925E37"/>
    <w:rsid w:val="00927CFB"/>
    <w:rsid w:val="009404B7"/>
    <w:rsid w:val="00941DC6"/>
    <w:rsid w:val="00942C80"/>
    <w:rsid w:val="009461D6"/>
    <w:rsid w:val="009469D9"/>
    <w:rsid w:val="00946AA9"/>
    <w:rsid w:val="009519DD"/>
    <w:rsid w:val="009524C3"/>
    <w:rsid w:val="00953762"/>
    <w:rsid w:val="00953BD9"/>
    <w:rsid w:val="00954345"/>
    <w:rsid w:val="009548F5"/>
    <w:rsid w:val="009549BA"/>
    <w:rsid w:val="00955636"/>
    <w:rsid w:val="009563F7"/>
    <w:rsid w:val="00956541"/>
    <w:rsid w:val="00960AD9"/>
    <w:rsid w:val="00964E0E"/>
    <w:rsid w:val="009651A3"/>
    <w:rsid w:val="0096557C"/>
    <w:rsid w:val="00965B0E"/>
    <w:rsid w:val="00966E20"/>
    <w:rsid w:val="009709D9"/>
    <w:rsid w:val="009721C1"/>
    <w:rsid w:val="00972304"/>
    <w:rsid w:val="00973502"/>
    <w:rsid w:val="009735F7"/>
    <w:rsid w:val="00974D48"/>
    <w:rsid w:val="00974E91"/>
    <w:rsid w:val="0097546F"/>
    <w:rsid w:val="00975FDA"/>
    <w:rsid w:val="0097602C"/>
    <w:rsid w:val="009816B5"/>
    <w:rsid w:val="009817B3"/>
    <w:rsid w:val="00982490"/>
    <w:rsid w:val="00982B18"/>
    <w:rsid w:val="0098367A"/>
    <w:rsid w:val="00983ED9"/>
    <w:rsid w:val="009840A2"/>
    <w:rsid w:val="0098455B"/>
    <w:rsid w:val="0098754D"/>
    <w:rsid w:val="00987E2A"/>
    <w:rsid w:val="00990568"/>
    <w:rsid w:val="00990EFA"/>
    <w:rsid w:val="009913B7"/>
    <w:rsid w:val="00991559"/>
    <w:rsid w:val="0099352E"/>
    <w:rsid w:val="009940F0"/>
    <w:rsid w:val="009949AB"/>
    <w:rsid w:val="009949E1"/>
    <w:rsid w:val="00994C0B"/>
    <w:rsid w:val="00994C13"/>
    <w:rsid w:val="00995B46"/>
    <w:rsid w:val="009976D3"/>
    <w:rsid w:val="009A0D95"/>
    <w:rsid w:val="009A2063"/>
    <w:rsid w:val="009A2A77"/>
    <w:rsid w:val="009A2C16"/>
    <w:rsid w:val="009A34A4"/>
    <w:rsid w:val="009A363A"/>
    <w:rsid w:val="009A3DD1"/>
    <w:rsid w:val="009A72C3"/>
    <w:rsid w:val="009A7BDC"/>
    <w:rsid w:val="009B0C28"/>
    <w:rsid w:val="009B30DC"/>
    <w:rsid w:val="009B30E8"/>
    <w:rsid w:val="009B3AFC"/>
    <w:rsid w:val="009B47BD"/>
    <w:rsid w:val="009B549F"/>
    <w:rsid w:val="009B5696"/>
    <w:rsid w:val="009B5AD8"/>
    <w:rsid w:val="009B5B63"/>
    <w:rsid w:val="009B6C63"/>
    <w:rsid w:val="009B6DC8"/>
    <w:rsid w:val="009B6F0D"/>
    <w:rsid w:val="009B6F54"/>
    <w:rsid w:val="009B7051"/>
    <w:rsid w:val="009B76BD"/>
    <w:rsid w:val="009C0BD7"/>
    <w:rsid w:val="009C116C"/>
    <w:rsid w:val="009C185B"/>
    <w:rsid w:val="009C1B0E"/>
    <w:rsid w:val="009C2E44"/>
    <w:rsid w:val="009C2E74"/>
    <w:rsid w:val="009C3AE8"/>
    <w:rsid w:val="009C3CB5"/>
    <w:rsid w:val="009C432B"/>
    <w:rsid w:val="009C44A9"/>
    <w:rsid w:val="009C6153"/>
    <w:rsid w:val="009C66BC"/>
    <w:rsid w:val="009C68A0"/>
    <w:rsid w:val="009C7887"/>
    <w:rsid w:val="009D0354"/>
    <w:rsid w:val="009D0A7B"/>
    <w:rsid w:val="009D1DBA"/>
    <w:rsid w:val="009D30D0"/>
    <w:rsid w:val="009D353E"/>
    <w:rsid w:val="009D3855"/>
    <w:rsid w:val="009D6682"/>
    <w:rsid w:val="009D68B1"/>
    <w:rsid w:val="009D70BA"/>
    <w:rsid w:val="009D7D21"/>
    <w:rsid w:val="009D7F4C"/>
    <w:rsid w:val="009E047E"/>
    <w:rsid w:val="009E0487"/>
    <w:rsid w:val="009E086C"/>
    <w:rsid w:val="009E08BE"/>
    <w:rsid w:val="009E157B"/>
    <w:rsid w:val="009E2076"/>
    <w:rsid w:val="009E36D3"/>
    <w:rsid w:val="009E41D8"/>
    <w:rsid w:val="009E515D"/>
    <w:rsid w:val="009E5200"/>
    <w:rsid w:val="009E5D2B"/>
    <w:rsid w:val="009E5FA1"/>
    <w:rsid w:val="009E6C0E"/>
    <w:rsid w:val="009E737E"/>
    <w:rsid w:val="009F174A"/>
    <w:rsid w:val="009F1D14"/>
    <w:rsid w:val="009F20E3"/>
    <w:rsid w:val="009F4FA8"/>
    <w:rsid w:val="009F603C"/>
    <w:rsid w:val="009F79D8"/>
    <w:rsid w:val="00A00D73"/>
    <w:rsid w:val="00A017BE"/>
    <w:rsid w:val="00A02BCE"/>
    <w:rsid w:val="00A02F82"/>
    <w:rsid w:val="00A049C3"/>
    <w:rsid w:val="00A04B2E"/>
    <w:rsid w:val="00A0574A"/>
    <w:rsid w:val="00A059A3"/>
    <w:rsid w:val="00A063C5"/>
    <w:rsid w:val="00A066C2"/>
    <w:rsid w:val="00A10B46"/>
    <w:rsid w:val="00A11497"/>
    <w:rsid w:val="00A117A5"/>
    <w:rsid w:val="00A118E5"/>
    <w:rsid w:val="00A11EF7"/>
    <w:rsid w:val="00A1302C"/>
    <w:rsid w:val="00A1476D"/>
    <w:rsid w:val="00A156C6"/>
    <w:rsid w:val="00A177B3"/>
    <w:rsid w:val="00A17DE7"/>
    <w:rsid w:val="00A17F4E"/>
    <w:rsid w:val="00A20272"/>
    <w:rsid w:val="00A2078D"/>
    <w:rsid w:val="00A2098D"/>
    <w:rsid w:val="00A21DD4"/>
    <w:rsid w:val="00A2263D"/>
    <w:rsid w:val="00A22824"/>
    <w:rsid w:val="00A22950"/>
    <w:rsid w:val="00A23538"/>
    <w:rsid w:val="00A240CE"/>
    <w:rsid w:val="00A2535F"/>
    <w:rsid w:val="00A255F0"/>
    <w:rsid w:val="00A26080"/>
    <w:rsid w:val="00A2714F"/>
    <w:rsid w:val="00A305BD"/>
    <w:rsid w:val="00A3164A"/>
    <w:rsid w:val="00A32472"/>
    <w:rsid w:val="00A344E8"/>
    <w:rsid w:val="00A357A3"/>
    <w:rsid w:val="00A35929"/>
    <w:rsid w:val="00A36428"/>
    <w:rsid w:val="00A40E05"/>
    <w:rsid w:val="00A40E1E"/>
    <w:rsid w:val="00A41778"/>
    <w:rsid w:val="00A42186"/>
    <w:rsid w:val="00A42BA3"/>
    <w:rsid w:val="00A43C7E"/>
    <w:rsid w:val="00A43C8E"/>
    <w:rsid w:val="00A45320"/>
    <w:rsid w:val="00A45C23"/>
    <w:rsid w:val="00A46C0B"/>
    <w:rsid w:val="00A46C1D"/>
    <w:rsid w:val="00A50A71"/>
    <w:rsid w:val="00A50B93"/>
    <w:rsid w:val="00A51228"/>
    <w:rsid w:val="00A513CD"/>
    <w:rsid w:val="00A51E20"/>
    <w:rsid w:val="00A52E9C"/>
    <w:rsid w:val="00A53221"/>
    <w:rsid w:val="00A545DD"/>
    <w:rsid w:val="00A54A9A"/>
    <w:rsid w:val="00A54B43"/>
    <w:rsid w:val="00A551BA"/>
    <w:rsid w:val="00A5587A"/>
    <w:rsid w:val="00A55F58"/>
    <w:rsid w:val="00A561B4"/>
    <w:rsid w:val="00A57892"/>
    <w:rsid w:val="00A616C3"/>
    <w:rsid w:val="00A617E7"/>
    <w:rsid w:val="00A61984"/>
    <w:rsid w:val="00A6246A"/>
    <w:rsid w:val="00A633D2"/>
    <w:rsid w:val="00A63482"/>
    <w:rsid w:val="00A64559"/>
    <w:rsid w:val="00A65180"/>
    <w:rsid w:val="00A664B8"/>
    <w:rsid w:val="00A670A3"/>
    <w:rsid w:val="00A67B1C"/>
    <w:rsid w:val="00A70DB1"/>
    <w:rsid w:val="00A71354"/>
    <w:rsid w:val="00A7215A"/>
    <w:rsid w:val="00A72696"/>
    <w:rsid w:val="00A73501"/>
    <w:rsid w:val="00A73606"/>
    <w:rsid w:val="00A73D7D"/>
    <w:rsid w:val="00A74673"/>
    <w:rsid w:val="00A746FD"/>
    <w:rsid w:val="00A8285C"/>
    <w:rsid w:val="00A82E41"/>
    <w:rsid w:val="00A82EBA"/>
    <w:rsid w:val="00A82FD5"/>
    <w:rsid w:val="00A84D3A"/>
    <w:rsid w:val="00A8515E"/>
    <w:rsid w:val="00A87259"/>
    <w:rsid w:val="00A87713"/>
    <w:rsid w:val="00A926EC"/>
    <w:rsid w:val="00A9383E"/>
    <w:rsid w:val="00A939B4"/>
    <w:rsid w:val="00A93FCE"/>
    <w:rsid w:val="00A9499D"/>
    <w:rsid w:val="00A96932"/>
    <w:rsid w:val="00A96B74"/>
    <w:rsid w:val="00A96F45"/>
    <w:rsid w:val="00A97C8F"/>
    <w:rsid w:val="00AA1746"/>
    <w:rsid w:val="00AA364E"/>
    <w:rsid w:val="00AA3978"/>
    <w:rsid w:val="00AA42AC"/>
    <w:rsid w:val="00AA465A"/>
    <w:rsid w:val="00AA56E5"/>
    <w:rsid w:val="00AA5ACE"/>
    <w:rsid w:val="00AA6864"/>
    <w:rsid w:val="00AA6A95"/>
    <w:rsid w:val="00AB1F89"/>
    <w:rsid w:val="00AB2024"/>
    <w:rsid w:val="00AB217B"/>
    <w:rsid w:val="00AB22F3"/>
    <w:rsid w:val="00AB2E4D"/>
    <w:rsid w:val="00AB362F"/>
    <w:rsid w:val="00AB4795"/>
    <w:rsid w:val="00AB4D5C"/>
    <w:rsid w:val="00AB637C"/>
    <w:rsid w:val="00AB66BF"/>
    <w:rsid w:val="00AB6E87"/>
    <w:rsid w:val="00AB7A36"/>
    <w:rsid w:val="00AC0147"/>
    <w:rsid w:val="00AC045C"/>
    <w:rsid w:val="00AC0EF6"/>
    <w:rsid w:val="00AC1705"/>
    <w:rsid w:val="00AC1710"/>
    <w:rsid w:val="00AC2DF7"/>
    <w:rsid w:val="00AC4E15"/>
    <w:rsid w:val="00AC5132"/>
    <w:rsid w:val="00AC51B9"/>
    <w:rsid w:val="00AC64FB"/>
    <w:rsid w:val="00AC6A6E"/>
    <w:rsid w:val="00AC6B99"/>
    <w:rsid w:val="00AC77A2"/>
    <w:rsid w:val="00AC78D1"/>
    <w:rsid w:val="00AC7A4F"/>
    <w:rsid w:val="00AD35AC"/>
    <w:rsid w:val="00AD4172"/>
    <w:rsid w:val="00AD64D9"/>
    <w:rsid w:val="00AD7B75"/>
    <w:rsid w:val="00AE250A"/>
    <w:rsid w:val="00AE30E2"/>
    <w:rsid w:val="00AE36B4"/>
    <w:rsid w:val="00AE3FCF"/>
    <w:rsid w:val="00AE6161"/>
    <w:rsid w:val="00AE68D2"/>
    <w:rsid w:val="00AE6E95"/>
    <w:rsid w:val="00AF5EF0"/>
    <w:rsid w:val="00AF601A"/>
    <w:rsid w:val="00AF6AC6"/>
    <w:rsid w:val="00AF6CCE"/>
    <w:rsid w:val="00AF6D20"/>
    <w:rsid w:val="00B00711"/>
    <w:rsid w:val="00B00E3D"/>
    <w:rsid w:val="00B0120C"/>
    <w:rsid w:val="00B017E0"/>
    <w:rsid w:val="00B0227B"/>
    <w:rsid w:val="00B03642"/>
    <w:rsid w:val="00B05FD0"/>
    <w:rsid w:val="00B063AE"/>
    <w:rsid w:val="00B07075"/>
    <w:rsid w:val="00B10B6E"/>
    <w:rsid w:val="00B135AF"/>
    <w:rsid w:val="00B13ACF"/>
    <w:rsid w:val="00B1434F"/>
    <w:rsid w:val="00B14726"/>
    <w:rsid w:val="00B16CC4"/>
    <w:rsid w:val="00B17379"/>
    <w:rsid w:val="00B209DE"/>
    <w:rsid w:val="00B225D4"/>
    <w:rsid w:val="00B23272"/>
    <w:rsid w:val="00B23FF5"/>
    <w:rsid w:val="00B25FF4"/>
    <w:rsid w:val="00B260EB"/>
    <w:rsid w:val="00B2737E"/>
    <w:rsid w:val="00B273BB"/>
    <w:rsid w:val="00B2785F"/>
    <w:rsid w:val="00B3044A"/>
    <w:rsid w:val="00B30B93"/>
    <w:rsid w:val="00B30E15"/>
    <w:rsid w:val="00B31AAC"/>
    <w:rsid w:val="00B323B8"/>
    <w:rsid w:val="00B32E2A"/>
    <w:rsid w:val="00B33BC1"/>
    <w:rsid w:val="00B33DFD"/>
    <w:rsid w:val="00B35AAB"/>
    <w:rsid w:val="00B35CDB"/>
    <w:rsid w:val="00B40EFD"/>
    <w:rsid w:val="00B41273"/>
    <w:rsid w:val="00B4160A"/>
    <w:rsid w:val="00B41C4B"/>
    <w:rsid w:val="00B420F2"/>
    <w:rsid w:val="00B42CE8"/>
    <w:rsid w:val="00B43331"/>
    <w:rsid w:val="00B43576"/>
    <w:rsid w:val="00B437FA"/>
    <w:rsid w:val="00B440BD"/>
    <w:rsid w:val="00B443C9"/>
    <w:rsid w:val="00B44957"/>
    <w:rsid w:val="00B4563D"/>
    <w:rsid w:val="00B461F9"/>
    <w:rsid w:val="00B478F6"/>
    <w:rsid w:val="00B50F82"/>
    <w:rsid w:val="00B516F1"/>
    <w:rsid w:val="00B52F3C"/>
    <w:rsid w:val="00B54432"/>
    <w:rsid w:val="00B544AA"/>
    <w:rsid w:val="00B5488F"/>
    <w:rsid w:val="00B54E92"/>
    <w:rsid w:val="00B553D1"/>
    <w:rsid w:val="00B56C0F"/>
    <w:rsid w:val="00B6020D"/>
    <w:rsid w:val="00B60DC9"/>
    <w:rsid w:val="00B6247F"/>
    <w:rsid w:val="00B64136"/>
    <w:rsid w:val="00B64B1E"/>
    <w:rsid w:val="00B64CC9"/>
    <w:rsid w:val="00B654D6"/>
    <w:rsid w:val="00B670A7"/>
    <w:rsid w:val="00B6737B"/>
    <w:rsid w:val="00B7089B"/>
    <w:rsid w:val="00B72B17"/>
    <w:rsid w:val="00B72CD1"/>
    <w:rsid w:val="00B733B9"/>
    <w:rsid w:val="00B73F05"/>
    <w:rsid w:val="00B767CA"/>
    <w:rsid w:val="00B76CCF"/>
    <w:rsid w:val="00B77129"/>
    <w:rsid w:val="00B77F98"/>
    <w:rsid w:val="00B8054C"/>
    <w:rsid w:val="00B8066C"/>
    <w:rsid w:val="00B81529"/>
    <w:rsid w:val="00B82AAC"/>
    <w:rsid w:val="00B837DB"/>
    <w:rsid w:val="00B83D77"/>
    <w:rsid w:val="00B8624D"/>
    <w:rsid w:val="00B87879"/>
    <w:rsid w:val="00B87B2B"/>
    <w:rsid w:val="00B906A4"/>
    <w:rsid w:val="00B90FD3"/>
    <w:rsid w:val="00B91437"/>
    <w:rsid w:val="00B93448"/>
    <w:rsid w:val="00B949C4"/>
    <w:rsid w:val="00B950AB"/>
    <w:rsid w:val="00B9553A"/>
    <w:rsid w:val="00B95A10"/>
    <w:rsid w:val="00B95A11"/>
    <w:rsid w:val="00B95DE9"/>
    <w:rsid w:val="00B96066"/>
    <w:rsid w:val="00B96AE3"/>
    <w:rsid w:val="00B97302"/>
    <w:rsid w:val="00BA1078"/>
    <w:rsid w:val="00BA166B"/>
    <w:rsid w:val="00BA172D"/>
    <w:rsid w:val="00BA3F7B"/>
    <w:rsid w:val="00BA4633"/>
    <w:rsid w:val="00BA5BE2"/>
    <w:rsid w:val="00BA6CB0"/>
    <w:rsid w:val="00BB165A"/>
    <w:rsid w:val="00BB179D"/>
    <w:rsid w:val="00BB333F"/>
    <w:rsid w:val="00BB39F6"/>
    <w:rsid w:val="00BB414B"/>
    <w:rsid w:val="00BB4B29"/>
    <w:rsid w:val="00BB7582"/>
    <w:rsid w:val="00BC0BC5"/>
    <w:rsid w:val="00BC1A1C"/>
    <w:rsid w:val="00BC2247"/>
    <w:rsid w:val="00BC22A9"/>
    <w:rsid w:val="00BC26AD"/>
    <w:rsid w:val="00BC3A6F"/>
    <w:rsid w:val="00BC4411"/>
    <w:rsid w:val="00BC444D"/>
    <w:rsid w:val="00BC5AD9"/>
    <w:rsid w:val="00BC5AE5"/>
    <w:rsid w:val="00BD047D"/>
    <w:rsid w:val="00BD0707"/>
    <w:rsid w:val="00BD31DB"/>
    <w:rsid w:val="00BD3B28"/>
    <w:rsid w:val="00BD4630"/>
    <w:rsid w:val="00BE0DFC"/>
    <w:rsid w:val="00BE2700"/>
    <w:rsid w:val="00BE2BFF"/>
    <w:rsid w:val="00BE4DA1"/>
    <w:rsid w:val="00BE6AC0"/>
    <w:rsid w:val="00BE729A"/>
    <w:rsid w:val="00BE7E05"/>
    <w:rsid w:val="00BF019E"/>
    <w:rsid w:val="00BF05BB"/>
    <w:rsid w:val="00BF0DAF"/>
    <w:rsid w:val="00BF33E8"/>
    <w:rsid w:val="00BF470E"/>
    <w:rsid w:val="00BF5517"/>
    <w:rsid w:val="00BF660F"/>
    <w:rsid w:val="00BF79E9"/>
    <w:rsid w:val="00C02CC3"/>
    <w:rsid w:val="00C058D7"/>
    <w:rsid w:val="00C05AD6"/>
    <w:rsid w:val="00C05D6E"/>
    <w:rsid w:val="00C0627C"/>
    <w:rsid w:val="00C06B88"/>
    <w:rsid w:val="00C06CB7"/>
    <w:rsid w:val="00C06D60"/>
    <w:rsid w:val="00C0711B"/>
    <w:rsid w:val="00C11A69"/>
    <w:rsid w:val="00C131AC"/>
    <w:rsid w:val="00C13CB4"/>
    <w:rsid w:val="00C15745"/>
    <w:rsid w:val="00C15C22"/>
    <w:rsid w:val="00C17B20"/>
    <w:rsid w:val="00C17C69"/>
    <w:rsid w:val="00C205FA"/>
    <w:rsid w:val="00C218E8"/>
    <w:rsid w:val="00C2516E"/>
    <w:rsid w:val="00C25436"/>
    <w:rsid w:val="00C25F6E"/>
    <w:rsid w:val="00C276FF"/>
    <w:rsid w:val="00C27BC5"/>
    <w:rsid w:val="00C30E63"/>
    <w:rsid w:val="00C322CA"/>
    <w:rsid w:val="00C32E81"/>
    <w:rsid w:val="00C33490"/>
    <w:rsid w:val="00C33E69"/>
    <w:rsid w:val="00C341BB"/>
    <w:rsid w:val="00C3655E"/>
    <w:rsid w:val="00C365A8"/>
    <w:rsid w:val="00C371F1"/>
    <w:rsid w:val="00C40996"/>
    <w:rsid w:val="00C40A4B"/>
    <w:rsid w:val="00C421CD"/>
    <w:rsid w:val="00C42728"/>
    <w:rsid w:val="00C429B2"/>
    <w:rsid w:val="00C42F2B"/>
    <w:rsid w:val="00C436AF"/>
    <w:rsid w:val="00C45AA8"/>
    <w:rsid w:val="00C46938"/>
    <w:rsid w:val="00C47552"/>
    <w:rsid w:val="00C4793D"/>
    <w:rsid w:val="00C47D3E"/>
    <w:rsid w:val="00C47EF2"/>
    <w:rsid w:val="00C504F7"/>
    <w:rsid w:val="00C50ABC"/>
    <w:rsid w:val="00C50BB3"/>
    <w:rsid w:val="00C511A9"/>
    <w:rsid w:val="00C528A2"/>
    <w:rsid w:val="00C52BF8"/>
    <w:rsid w:val="00C5300A"/>
    <w:rsid w:val="00C53A71"/>
    <w:rsid w:val="00C545FB"/>
    <w:rsid w:val="00C56C5A"/>
    <w:rsid w:val="00C57930"/>
    <w:rsid w:val="00C57938"/>
    <w:rsid w:val="00C57FE1"/>
    <w:rsid w:val="00C62381"/>
    <w:rsid w:val="00C62707"/>
    <w:rsid w:val="00C63392"/>
    <w:rsid w:val="00C636D5"/>
    <w:rsid w:val="00C640DE"/>
    <w:rsid w:val="00C651C7"/>
    <w:rsid w:val="00C6522B"/>
    <w:rsid w:val="00C655A7"/>
    <w:rsid w:val="00C65D26"/>
    <w:rsid w:val="00C67558"/>
    <w:rsid w:val="00C70334"/>
    <w:rsid w:val="00C72F00"/>
    <w:rsid w:val="00C73FF7"/>
    <w:rsid w:val="00C74567"/>
    <w:rsid w:val="00C7509A"/>
    <w:rsid w:val="00C76CD5"/>
    <w:rsid w:val="00C77EB3"/>
    <w:rsid w:val="00C839EC"/>
    <w:rsid w:val="00C8532F"/>
    <w:rsid w:val="00C861D7"/>
    <w:rsid w:val="00C87438"/>
    <w:rsid w:val="00C90D49"/>
    <w:rsid w:val="00C90E01"/>
    <w:rsid w:val="00C93155"/>
    <w:rsid w:val="00C93353"/>
    <w:rsid w:val="00C93A93"/>
    <w:rsid w:val="00C93CBF"/>
    <w:rsid w:val="00C93CCE"/>
    <w:rsid w:val="00C9505B"/>
    <w:rsid w:val="00C95AAE"/>
    <w:rsid w:val="00C95F75"/>
    <w:rsid w:val="00C977E4"/>
    <w:rsid w:val="00CA00CA"/>
    <w:rsid w:val="00CA1527"/>
    <w:rsid w:val="00CA2EC8"/>
    <w:rsid w:val="00CA345E"/>
    <w:rsid w:val="00CA35D0"/>
    <w:rsid w:val="00CA4B9E"/>
    <w:rsid w:val="00CA5865"/>
    <w:rsid w:val="00CA5A65"/>
    <w:rsid w:val="00CB0248"/>
    <w:rsid w:val="00CB0435"/>
    <w:rsid w:val="00CB0B3E"/>
    <w:rsid w:val="00CB164D"/>
    <w:rsid w:val="00CB22CC"/>
    <w:rsid w:val="00CB2965"/>
    <w:rsid w:val="00CB3F05"/>
    <w:rsid w:val="00CB586B"/>
    <w:rsid w:val="00CB6F72"/>
    <w:rsid w:val="00CC0BEE"/>
    <w:rsid w:val="00CC0F90"/>
    <w:rsid w:val="00CC149D"/>
    <w:rsid w:val="00CC1DFF"/>
    <w:rsid w:val="00CC204E"/>
    <w:rsid w:val="00CC2290"/>
    <w:rsid w:val="00CC2BD6"/>
    <w:rsid w:val="00CC5F1E"/>
    <w:rsid w:val="00CC69B5"/>
    <w:rsid w:val="00CC7795"/>
    <w:rsid w:val="00CD1460"/>
    <w:rsid w:val="00CD1899"/>
    <w:rsid w:val="00CD1CD5"/>
    <w:rsid w:val="00CD1EB1"/>
    <w:rsid w:val="00CD254C"/>
    <w:rsid w:val="00CD2BA1"/>
    <w:rsid w:val="00CD43C4"/>
    <w:rsid w:val="00CD60CA"/>
    <w:rsid w:val="00CD657D"/>
    <w:rsid w:val="00CD6791"/>
    <w:rsid w:val="00CD7B2E"/>
    <w:rsid w:val="00CD7D41"/>
    <w:rsid w:val="00CE0806"/>
    <w:rsid w:val="00CE0E39"/>
    <w:rsid w:val="00CE291F"/>
    <w:rsid w:val="00CE38E4"/>
    <w:rsid w:val="00CE3F49"/>
    <w:rsid w:val="00CE4663"/>
    <w:rsid w:val="00CE4C6E"/>
    <w:rsid w:val="00CE5505"/>
    <w:rsid w:val="00CE7E3E"/>
    <w:rsid w:val="00CE7F34"/>
    <w:rsid w:val="00CF0C59"/>
    <w:rsid w:val="00CF13CF"/>
    <w:rsid w:val="00CF20F8"/>
    <w:rsid w:val="00CF22A9"/>
    <w:rsid w:val="00CF33D6"/>
    <w:rsid w:val="00CF353C"/>
    <w:rsid w:val="00CF354D"/>
    <w:rsid w:val="00CF3AD8"/>
    <w:rsid w:val="00CF409E"/>
    <w:rsid w:val="00CF436A"/>
    <w:rsid w:val="00CF4FCC"/>
    <w:rsid w:val="00CF53E2"/>
    <w:rsid w:val="00CF758C"/>
    <w:rsid w:val="00CF7DAE"/>
    <w:rsid w:val="00D0035B"/>
    <w:rsid w:val="00D01323"/>
    <w:rsid w:val="00D04222"/>
    <w:rsid w:val="00D0560D"/>
    <w:rsid w:val="00D07070"/>
    <w:rsid w:val="00D12710"/>
    <w:rsid w:val="00D1295A"/>
    <w:rsid w:val="00D12CCB"/>
    <w:rsid w:val="00D14E5C"/>
    <w:rsid w:val="00D14FF9"/>
    <w:rsid w:val="00D16312"/>
    <w:rsid w:val="00D16350"/>
    <w:rsid w:val="00D16364"/>
    <w:rsid w:val="00D166EC"/>
    <w:rsid w:val="00D211E7"/>
    <w:rsid w:val="00D24912"/>
    <w:rsid w:val="00D2547A"/>
    <w:rsid w:val="00D2624B"/>
    <w:rsid w:val="00D265F0"/>
    <w:rsid w:val="00D2751A"/>
    <w:rsid w:val="00D27F98"/>
    <w:rsid w:val="00D30680"/>
    <w:rsid w:val="00D30B27"/>
    <w:rsid w:val="00D30E83"/>
    <w:rsid w:val="00D30EC4"/>
    <w:rsid w:val="00D3135F"/>
    <w:rsid w:val="00D3158C"/>
    <w:rsid w:val="00D31BA7"/>
    <w:rsid w:val="00D31D49"/>
    <w:rsid w:val="00D32D53"/>
    <w:rsid w:val="00D33F82"/>
    <w:rsid w:val="00D356B3"/>
    <w:rsid w:val="00D36717"/>
    <w:rsid w:val="00D37159"/>
    <w:rsid w:val="00D3747A"/>
    <w:rsid w:val="00D4022F"/>
    <w:rsid w:val="00D42B8D"/>
    <w:rsid w:val="00D4357C"/>
    <w:rsid w:val="00D43B04"/>
    <w:rsid w:val="00D44232"/>
    <w:rsid w:val="00D452AD"/>
    <w:rsid w:val="00D45310"/>
    <w:rsid w:val="00D461EE"/>
    <w:rsid w:val="00D46C85"/>
    <w:rsid w:val="00D47321"/>
    <w:rsid w:val="00D500CE"/>
    <w:rsid w:val="00D50F01"/>
    <w:rsid w:val="00D51334"/>
    <w:rsid w:val="00D51C36"/>
    <w:rsid w:val="00D52CE2"/>
    <w:rsid w:val="00D5364E"/>
    <w:rsid w:val="00D53D2A"/>
    <w:rsid w:val="00D5472D"/>
    <w:rsid w:val="00D5484B"/>
    <w:rsid w:val="00D55E75"/>
    <w:rsid w:val="00D56D5C"/>
    <w:rsid w:val="00D60B7E"/>
    <w:rsid w:val="00D6167A"/>
    <w:rsid w:val="00D62EA1"/>
    <w:rsid w:val="00D62EFE"/>
    <w:rsid w:val="00D6325F"/>
    <w:rsid w:val="00D632C4"/>
    <w:rsid w:val="00D6347F"/>
    <w:rsid w:val="00D64172"/>
    <w:rsid w:val="00D64795"/>
    <w:rsid w:val="00D66F54"/>
    <w:rsid w:val="00D708A8"/>
    <w:rsid w:val="00D70CCA"/>
    <w:rsid w:val="00D719B3"/>
    <w:rsid w:val="00D71A47"/>
    <w:rsid w:val="00D71C8F"/>
    <w:rsid w:val="00D725BC"/>
    <w:rsid w:val="00D7284B"/>
    <w:rsid w:val="00D738B8"/>
    <w:rsid w:val="00D74FA2"/>
    <w:rsid w:val="00D764A6"/>
    <w:rsid w:val="00D7730F"/>
    <w:rsid w:val="00D807DB"/>
    <w:rsid w:val="00D80C1E"/>
    <w:rsid w:val="00D813A2"/>
    <w:rsid w:val="00D8143D"/>
    <w:rsid w:val="00D82576"/>
    <w:rsid w:val="00D82A74"/>
    <w:rsid w:val="00D8326C"/>
    <w:rsid w:val="00D840A7"/>
    <w:rsid w:val="00D84343"/>
    <w:rsid w:val="00D846F5"/>
    <w:rsid w:val="00D84BB7"/>
    <w:rsid w:val="00D84CBD"/>
    <w:rsid w:val="00D85BC2"/>
    <w:rsid w:val="00D85BE0"/>
    <w:rsid w:val="00D903E7"/>
    <w:rsid w:val="00D9163C"/>
    <w:rsid w:val="00D92577"/>
    <w:rsid w:val="00D92F73"/>
    <w:rsid w:val="00D93854"/>
    <w:rsid w:val="00D957CB"/>
    <w:rsid w:val="00D95EF1"/>
    <w:rsid w:val="00D97161"/>
    <w:rsid w:val="00DA0862"/>
    <w:rsid w:val="00DA180B"/>
    <w:rsid w:val="00DA1A79"/>
    <w:rsid w:val="00DA2A78"/>
    <w:rsid w:val="00DA3D76"/>
    <w:rsid w:val="00DA43D4"/>
    <w:rsid w:val="00DA5DEB"/>
    <w:rsid w:val="00DA5F73"/>
    <w:rsid w:val="00DA743D"/>
    <w:rsid w:val="00DB16F6"/>
    <w:rsid w:val="00DB19B1"/>
    <w:rsid w:val="00DB1C5B"/>
    <w:rsid w:val="00DB4B35"/>
    <w:rsid w:val="00DB4B43"/>
    <w:rsid w:val="00DB50FD"/>
    <w:rsid w:val="00DB5933"/>
    <w:rsid w:val="00DB65A3"/>
    <w:rsid w:val="00DB67A4"/>
    <w:rsid w:val="00DC03FE"/>
    <w:rsid w:val="00DC1565"/>
    <w:rsid w:val="00DC50AD"/>
    <w:rsid w:val="00DC5DDD"/>
    <w:rsid w:val="00DC6823"/>
    <w:rsid w:val="00DC71E1"/>
    <w:rsid w:val="00DC7DDA"/>
    <w:rsid w:val="00DD0FD8"/>
    <w:rsid w:val="00DD3A62"/>
    <w:rsid w:val="00DD61CC"/>
    <w:rsid w:val="00DD64BC"/>
    <w:rsid w:val="00DD679C"/>
    <w:rsid w:val="00DD73F4"/>
    <w:rsid w:val="00DD7799"/>
    <w:rsid w:val="00DD7892"/>
    <w:rsid w:val="00DE063C"/>
    <w:rsid w:val="00DE507E"/>
    <w:rsid w:val="00DE51A8"/>
    <w:rsid w:val="00DE5C5A"/>
    <w:rsid w:val="00DE6365"/>
    <w:rsid w:val="00DE72F8"/>
    <w:rsid w:val="00DF352B"/>
    <w:rsid w:val="00DF380E"/>
    <w:rsid w:val="00DF4E12"/>
    <w:rsid w:val="00DF70FF"/>
    <w:rsid w:val="00DF7DAD"/>
    <w:rsid w:val="00E01BEF"/>
    <w:rsid w:val="00E02910"/>
    <w:rsid w:val="00E02BE6"/>
    <w:rsid w:val="00E031AC"/>
    <w:rsid w:val="00E03374"/>
    <w:rsid w:val="00E03B98"/>
    <w:rsid w:val="00E04D00"/>
    <w:rsid w:val="00E04FEB"/>
    <w:rsid w:val="00E069AA"/>
    <w:rsid w:val="00E076EF"/>
    <w:rsid w:val="00E078B3"/>
    <w:rsid w:val="00E10143"/>
    <w:rsid w:val="00E11EBF"/>
    <w:rsid w:val="00E12A59"/>
    <w:rsid w:val="00E133F5"/>
    <w:rsid w:val="00E147B6"/>
    <w:rsid w:val="00E17DD1"/>
    <w:rsid w:val="00E211C3"/>
    <w:rsid w:val="00E21334"/>
    <w:rsid w:val="00E21EC7"/>
    <w:rsid w:val="00E22744"/>
    <w:rsid w:val="00E230B6"/>
    <w:rsid w:val="00E233AC"/>
    <w:rsid w:val="00E2506D"/>
    <w:rsid w:val="00E25FFD"/>
    <w:rsid w:val="00E26237"/>
    <w:rsid w:val="00E2725E"/>
    <w:rsid w:val="00E277EE"/>
    <w:rsid w:val="00E30759"/>
    <w:rsid w:val="00E3246F"/>
    <w:rsid w:val="00E32E22"/>
    <w:rsid w:val="00E34026"/>
    <w:rsid w:val="00E344D3"/>
    <w:rsid w:val="00E35355"/>
    <w:rsid w:val="00E3559D"/>
    <w:rsid w:val="00E36DF1"/>
    <w:rsid w:val="00E401C7"/>
    <w:rsid w:val="00E40AA2"/>
    <w:rsid w:val="00E417D2"/>
    <w:rsid w:val="00E4451E"/>
    <w:rsid w:val="00E44AAD"/>
    <w:rsid w:val="00E44CC2"/>
    <w:rsid w:val="00E4504F"/>
    <w:rsid w:val="00E45985"/>
    <w:rsid w:val="00E4634E"/>
    <w:rsid w:val="00E471D9"/>
    <w:rsid w:val="00E47351"/>
    <w:rsid w:val="00E504AF"/>
    <w:rsid w:val="00E50D9E"/>
    <w:rsid w:val="00E526B2"/>
    <w:rsid w:val="00E5339A"/>
    <w:rsid w:val="00E5393F"/>
    <w:rsid w:val="00E57144"/>
    <w:rsid w:val="00E60938"/>
    <w:rsid w:val="00E6141F"/>
    <w:rsid w:val="00E6253D"/>
    <w:rsid w:val="00E62FCA"/>
    <w:rsid w:val="00E6392E"/>
    <w:rsid w:val="00E64968"/>
    <w:rsid w:val="00E65590"/>
    <w:rsid w:val="00E65A3B"/>
    <w:rsid w:val="00E66E2B"/>
    <w:rsid w:val="00E6791D"/>
    <w:rsid w:val="00E67979"/>
    <w:rsid w:val="00E70831"/>
    <w:rsid w:val="00E70A7E"/>
    <w:rsid w:val="00E70B72"/>
    <w:rsid w:val="00E7138C"/>
    <w:rsid w:val="00E72351"/>
    <w:rsid w:val="00E731F1"/>
    <w:rsid w:val="00E7333D"/>
    <w:rsid w:val="00E73BE6"/>
    <w:rsid w:val="00E73EE1"/>
    <w:rsid w:val="00E740B7"/>
    <w:rsid w:val="00E75120"/>
    <w:rsid w:val="00E765E9"/>
    <w:rsid w:val="00E76F65"/>
    <w:rsid w:val="00E803A4"/>
    <w:rsid w:val="00E80741"/>
    <w:rsid w:val="00E80BA3"/>
    <w:rsid w:val="00E8116C"/>
    <w:rsid w:val="00E817A6"/>
    <w:rsid w:val="00E8218A"/>
    <w:rsid w:val="00E82468"/>
    <w:rsid w:val="00E829BD"/>
    <w:rsid w:val="00E82E07"/>
    <w:rsid w:val="00E82E83"/>
    <w:rsid w:val="00E863CF"/>
    <w:rsid w:val="00E87B0F"/>
    <w:rsid w:val="00E90D4A"/>
    <w:rsid w:val="00E910BA"/>
    <w:rsid w:val="00E92FA4"/>
    <w:rsid w:val="00E93951"/>
    <w:rsid w:val="00E93DDB"/>
    <w:rsid w:val="00E946B6"/>
    <w:rsid w:val="00E9605F"/>
    <w:rsid w:val="00E9658F"/>
    <w:rsid w:val="00EA1A0A"/>
    <w:rsid w:val="00EA2056"/>
    <w:rsid w:val="00EA24C7"/>
    <w:rsid w:val="00EA310F"/>
    <w:rsid w:val="00EA42E9"/>
    <w:rsid w:val="00EA547B"/>
    <w:rsid w:val="00EA5743"/>
    <w:rsid w:val="00EA5DF3"/>
    <w:rsid w:val="00EA5DFA"/>
    <w:rsid w:val="00EA5F93"/>
    <w:rsid w:val="00EA79FE"/>
    <w:rsid w:val="00EB0366"/>
    <w:rsid w:val="00EB038C"/>
    <w:rsid w:val="00EB0D1F"/>
    <w:rsid w:val="00EB148D"/>
    <w:rsid w:val="00EB15D6"/>
    <w:rsid w:val="00EB3164"/>
    <w:rsid w:val="00EB38A7"/>
    <w:rsid w:val="00EB6168"/>
    <w:rsid w:val="00EC015E"/>
    <w:rsid w:val="00EC02E0"/>
    <w:rsid w:val="00EC088D"/>
    <w:rsid w:val="00EC32AF"/>
    <w:rsid w:val="00EC3D8D"/>
    <w:rsid w:val="00EC51E8"/>
    <w:rsid w:val="00EC5E4E"/>
    <w:rsid w:val="00EC60E5"/>
    <w:rsid w:val="00EC6709"/>
    <w:rsid w:val="00EC7716"/>
    <w:rsid w:val="00ED0E8E"/>
    <w:rsid w:val="00ED1BBB"/>
    <w:rsid w:val="00ED2136"/>
    <w:rsid w:val="00ED25D7"/>
    <w:rsid w:val="00ED36E8"/>
    <w:rsid w:val="00ED3F2A"/>
    <w:rsid w:val="00ED4207"/>
    <w:rsid w:val="00ED49E4"/>
    <w:rsid w:val="00ED5D90"/>
    <w:rsid w:val="00ED7C3D"/>
    <w:rsid w:val="00ED7CAC"/>
    <w:rsid w:val="00EE1906"/>
    <w:rsid w:val="00EE23FE"/>
    <w:rsid w:val="00EE24CC"/>
    <w:rsid w:val="00EE41D5"/>
    <w:rsid w:val="00EE4936"/>
    <w:rsid w:val="00EE6067"/>
    <w:rsid w:val="00EE681D"/>
    <w:rsid w:val="00EE6B82"/>
    <w:rsid w:val="00EE708A"/>
    <w:rsid w:val="00EF199C"/>
    <w:rsid w:val="00EF2198"/>
    <w:rsid w:val="00EF3E51"/>
    <w:rsid w:val="00F00628"/>
    <w:rsid w:val="00F00B99"/>
    <w:rsid w:val="00F00E8C"/>
    <w:rsid w:val="00F011D7"/>
    <w:rsid w:val="00F0267E"/>
    <w:rsid w:val="00F031A3"/>
    <w:rsid w:val="00F03728"/>
    <w:rsid w:val="00F03E73"/>
    <w:rsid w:val="00F048F3"/>
    <w:rsid w:val="00F04D3C"/>
    <w:rsid w:val="00F0587E"/>
    <w:rsid w:val="00F05B6E"/>
    <w:rsid w:val="00F101EE"/>
    <w:rsid w:val="00F10F7D"/>
    <w:rsid w:val="00F170CB"/>
    <w:rsid w:val="00F1745A"/>
    <w:rsid w:val="00F200D9"/>
    <w:rsid w:val="00F20287"/>
    <w:rsid w:val="00F20838"/>
    <w:rsid w:val="00F20BF8"/>
    <w:rsid w:val="00F20F65"/>
    <w:rsid w:val="00F21162"/>
    <w:rsid w:val="00F21603"/>
    <w:rsid w:val="00F2262B"/>
    <w:rsid w:val="00F22AC3"/>
    <w:rsid w:val="00F249FF"/>
    <w:rsid w:val="00F25D3D"/>
    <w:rsid w:val="00F26600"/>
    <w:rsid w:val="00F26ABD"/>
    <w:rsid w:val="00F2716E"/>
    <w:rsid w:val="00F277E4"/>
    <w:rsid w:val="00F30A3C"/>
    <w:rsid w:val="00F31931"/>
    <w:rsid w:val="00F3283F"/>
    <w:rsid w:val="00F33A60"/>
    <w:rsid w:val="00F355A2"/>
    <w:rsid w:val="00F3596E"/>
    <w:rsid w:val="00F35FFB"/>
    <w:rsid w:val="00F36360"/>
    <w:rsid w:val="00F36955"/>
    <w:rsid w:val="00F36C5F"/>
    <w:rsid w:val="00F3764A"/>
    <w:rsid w:val="00F37AB2"/>
    <w:rsid w:val="00F4011C"/>
    <w:rsid w:val="00F40249"/>
    <w:rsid w:val="00F405DA"/>
    <w:rsid w:val="00F4149C"/>
    <w:rsid w:val="00F420A7"/>
    <w:rsid w:val="00F434C9"/>
    <w:rsid w:val="00F43AB9"/>
    <w:rsid w:val="00F43E76"/>
    <w:rsid w:val="00F46AC9"/>
    <w:rsid w:val="00F46E09"/>
    <w:rsid w:val="00F50FDE"/>
    <w:rsid w:val="00F51C9A"/>
    <w:rsid w:val="00F52382"/>
    <w:rsid w:val="00F52AB4"/>
    <w:rsid w:val="00F53D3E"/>
    <w:rsid w:val="00F53DA6"/>
    <w:rsid w:val="00F540D5"/>
    <w:rsid w:val="00F54BC4"/>
    <w:rsid w:val="00F550A4"/>
    <w:rsid w:val="00F555F9"/>
    <w:rsid w:val="00F568D8"/>
    <w:rsid w:val="00F56975"/>
    <w:rsid w:val="00F56AE7"/>
    <w:rsid w:val="00F570C2"/>
    <w:rsid w:val="00F63052"/>
    <w:rsid w:val="00F635E0"/>
    <w:rsid w:val="00F641C9"/>
    <w:rsid w:val="00F645B3"/>
    <w:rsid w:val="00F65BE0"/>
    <w:rsid w:val="00F66846"/>
    <w:rsid w:val="00F66C41"/>
    <w:rsid w:val="00F67E14"/>
    <w:rsid w:val="00F70887"/>
    <w:rsid w:val="00F7091A"/>
    <w:rsid w:val="00F72203"/>
    <w:rsid w:val="00F72728"/>
    <w:rsid w:val="00F72D73"/>
    <w:rsid w:val="00F73B02"/>
    <w:rsid w:val="00F74E49"/>
    <w:rsid w:val="00F77C7D"/>
    <w:rsid w:val="00F81904"/>
    <w:rsid w:val="00F81F7B"/>
    <w:rsid w:val="00F8465C"/>
    <w:rsid w:val="00F8515F"/>
    <w:rsid w:val="00F85436"/>
    <w:rsid w:val="00F85527"/>
    <w:rsid w:val="00F86058"/>
    <w:rsid w:val="00F86364"/>
    <w:rsid w:val="00F87288"/>
    <w:rsid w:val="00F91949"/>
    <w:rsid w:val="00F9464A"/>
    <w:rsid w:val="00F94BEE"/>
    <w:rsid w:val="00F9608E"/>
    <w:rsid w:val="00F97B31"/>
    <w:rsid w:val="00FA0B60"/>
    <w:rsid w:val="00FA1783"/>
    <w:rsid w:val="00FA2765"/>
    <w:rsid w:val="00FA33A9"/>
    <w:rsid w:val="00FA38AC"/>
    <w:rsid w:val="00FA3C31"/>
    <w:rsid w:val="00FA42C1"/>
    <w:rsid w:val="00FA48A4"/>
    <w:rsid w:val="00FA595A"/>
    <w:rsid w:val="00FA6702"/>
    <w:rsid w:val="00FA6902"/>
    <w:rsid w:val="00FA70B6"/>
    <w:rsid w:val="00FA7E1B"/>
    <w:rsid w:val="00FB1A7A"/>
    <w:rsid w:val="00FB2196"/>
    <w:rsid w:val="00FB243C"/>
    <w:rsid w:val="00FB27E1"/>
    <w:rsid w:val="00FB3112"/>
    <w:rsid w:val="00FB3AE1"/>
    <w:rsid w:val="00FB4D87"/>
    <w:rsid w:val="00FB7553"/>
    <w:rsid w:val="00FB7F91"/>
    <w:rsid w:val="00FC049E"/>
    <w:rsid w:val="00FC1487"/>
    <w:rsid w:val="00FC14CD"/>
    <w:rsid w:val="00FC1667"/>
    <w:rsid w:val="00FC1924"/>
    <w:rsid w:val="00FC2E92"/>
    <w:rsid w:val="00FC2FBB"/>
    <w:rsid w:val="00FC3935"/>
    <w:rsid w:val="00FC45D7"/>
    <w:rsid w:val="00FC55EC"/>
    <w:rsid w:val="00FD0C04"/>
    <w:rsid w:val="00FD0F06"/>
    <w:rsid w:val="00FD1DB0"/>
    <w:rsid w:val="00FD2154"/>
    <w:rsid w:val="00FD3C89"/>
    <w:rsid w:val="00FD3F7E"/>
    <w:rsid w:val="00FD4A1C"/>
    <w:rsid w:val="00FD4F72"/>
    <w:rsid w:val="00FD5820"/>
    <w:rsid w:val="00FD62C8"/>
    <w:rsid w:val="00FE04CB"/>
    <w:rsid w:val="00FE077A"/>
    <w:rsid w:val="00FE096F"/>
    <w:rsid w:val="00FE1221"/>
    <w:rsid w:val="00FE205A"/>
    <w:rsid w:val="00FE342B"/>
    <w:rsid w:val="00FE3683"/>
    <w:rsid w:val="00FE5267"/>
    <w:rsid w:val="00FE5CE9"/>
    <w:rsid w:val="00FE6B20"/>
    <w:rsid w:val="00FE7AB7"/>
    <w:rsid w:val="00FF0BFA"/>
    <w:rsid w:val="00FF1F08"/>
    <w:rsid w:val="00FF3FE8"/>
    <w:rsid w:val="00FF6211"/>
    <w:rsid w:val="00FF6922"/>
    <w:rsid w:val="0317972C"/>
    <w:rsid w:val="0FA79379"/>
    <w:rsid w:val="11F94E52"/>
    <w:rsid w:val="1202AE0F"/>
    <w:rsid w:val="12C44007"/>
    <w:rsid w:val="14C5C875"/>
    <w:rsid w:val="1A1049C0"/>
    <w:rsid w:val="26F838B2"/>
    <w:rsid w:val="2AD31751"/>
    <w:rsid w:val="2BCD1D16"/>
    <w:rsid w:val="552DAF46"/>
    <w:rsid w:val="66E51E50"/>
    <w:rsid w:val="683597B8"/>
    <w:rsid w:val="7316E44E"/>
    <w:rsid w:val="78CD2C4E"/>
    <w:rsid w:val="7A8B42CC"/>
    <w:rsid w:val="7DA65947"/>
    <w:rsid w:val="7E08D458"/>
    <w:rsid w:val="7F78B7E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43FA95"/>
  <w15:docId w15:val="{67792FC3-929F-41B9-AD32-81AE943F8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171DB"/>
    <w:pPr>
      <w:spacing w:line="276" w:lineRule="auto"/>
      <w:jc w:val="both"/>
    </w:pPr>
    <w:rPr>
      <w:rFonts w:ascii="Garamond" w:eastAsia="Times New Roman" w:hAnsi="Garamond"/>
      <w:sz w:val="24"/>
      <w:szCs w:val="22"/>
      <w:lang w:eastAsia="en-US"/>
    </w:rPr>
  </w:style>
  <w:style w:type="paragraph" w:styleId="Titolo1">
    <w:name w:val="heading 1"/>
    <w:basedOn w:val="Normale"/>
    <w:next w:val="Titolo2"/>
    <w:qFormat/>
    <w:pPr>
      <w:keepNext/>
      <w:keepLines/>
      <w:spacing w:before="280" w:after="280"/>
      <w:jc w:val="center"/>
      <w:outlineLvl w:val="0"/>
    </w:pPr>
    <w:rPr>
      <w:rFonts w:eastAsia="Calibri"/>
      <w:b/>
      <w:bCs/>
      <w:sz w:val="28"/>
      <w:szCs w:val="28"/>
      <w:lang w:val="x-none" w:eastAsia="x-none"/>
    </w:rPr>
  </w:style>
  <w:style w:type="paragraph" w:styleId="Titolo2">
    <w:name w:val="heading 2"/>
    <w:basedOn w:val="Normale"/>
    <w:next w:val="Titolo3"/>
    <w:qFormat/>
    <w:pPr>
      <w:keepNext/>
      <w:numPr>
        <w:numId w:val="1"/>
      </w:numPr>
      <w:spacing w:before="560" w:after="120"/>
      <w:outlineLvl w:val="1"/>
    </w:pPr>
    <w:rPr>
      <w:b/>
      <w:bCs/>
      <w:iCs/>
      <w:caps/>
      <w:szCs w:val="28"/>
      <w:lang w:val="x-none"/>
    </w:rPr>
  </w:style>
  <w:style w:type="paragraph" w:styleId="Titolo3">
    <w:name w:val="heading 3"/>
    <w:basedOn w:val="Normale"/>
    <w:next w:val="Normale"/>
    <w:qFormat/>
    <w:pPr>
      <w:keepNext/>
      <w:numPr>
        <w:ilvl w:val="1"/>
        <w:numId w:val="1"/>
      </w:numPr>
      <w:spacing w:before="240" w:after="60"/>
      <w:outlineLvl w:val="2"/>
    </w:pPr>
    <w:rPr>
      <w:b/>
      <w:bCs/>
      <w:caps/>
      <w:sz w:val="22"/>
      <w:szCs w:val="26"/>
      <w:lang w:val="x-none"/>
    </w:rPr>
  </w:style>
  <w:style w:type="paragraph" w:styleId="Titolo4">
    <w:name w:val="heading 4"/>
    <w:basedOn w:val="Normale"/>
    <w:next w:val="Normale"/>
    <w:qFormat/>
    <w:pPr>
      <w:keepNext/>
      <w:keepLines/>
      <w:spacing w:before="200"/>
      <w:outlineLvl w:val="3"/>
    </w:pPr>
    <w:rPr>
      <w:rFonts w:ascii="Cambria" w:eastAsia="Calibri" w:hAnsi="Cambria"/>
      <w:b/>
      <w:bCs/>
      <w:i/>
      <w:iCs/>
      <w:color w:val="4F81BD"/>
    </w:rPr>
  </w:style>
  <w:style w:type="paragraph" w:styleId="Titolo5">
    <w:name w:val="heading 5"/>
    <w:basedOn w:val="Normale"/>
    <w:next w:val="Normale"/>
    <w:qFormat/>
    <w:pPr>
      <w:spacing w:before="240" w:after="60"/>
      <w:outlineLvl w:val="4"/>
    </w:pPr>
    <w:rPr>
      <w:b/>
      <w:bCs/>
      <w:i/>
      <w:iCs/>
      <w:sz w:val="26"/>
      <w:szCs w:val="26"/>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qFormat/>
    <w:rPr>
      <w:rFonts w:ascii="Garamond" w:hAnsi="Garamond"/>
      <w:b/>
      <w:bCs/>
      <w:sz w:val="28"/>
      <w:szCs w:val="28"/>
      <w:lang w:val="x-none" w:eastAsia="x-none"/>
    </w:rPr>
  </w:style>
  <w:style w:type="character" w:customStyle="1" w:styleId="Titolo3Carattere">
    <w:name w:val="Titolo 3 Carattere"/>
    <w:qFormat/>
    <w:rPr>
      <w:rFonts w:ascii="Garamond" w:eastAsia="Times New Roman" w:hAnsi="Garamond"/>
      <w:b/>
      <w:bCs/>
      <w:caps/>
      <w:sz w:val="22"/>
      <w:szCs w:val="26"/>
      <w:lang w:val="x-none" w:eastAsia="en-US"/>
    </w:rPr>
  </w:style>
  <w:style w:type="character" w:customStyle="1" w:styleId="Titolo5Carattere">
    <w:name w:val="Titolo 5 Carattere"/>
    <w:qFormat/>
    <w:rPr>
      <w:rFonts w:ascii="Calibri" w:eastAsia="Times New Roman" w:hAnsi="Calibri" w:cs="Times New Roman"/>
      <w:b/>
      <w:bCs/>
      <w:i/>
      <w:iCs/>
      <w:sz w:val="26"/>
      <w:szCs w:val="26"/>
      <w:lang w:eastAsia="en-US"/>
    </w:rPr>
  </w:style>
  <w:style w:type="character" w:customStyle="1" w:styleId="TestofumettoCarattere">
    <w:name w:val="Testo fumetto Carattere"/>
    <w:qFormat/>
    <w:rPr>
      <w:rFonts w:ascii="Tahoma" w:hAnsi="Tahoma" w:cs="Tahoma"/>
      <w:sz w:val="16"/>
      <w:szCs w:val="16"/>
    </w:rPr>
  </w:style>
  <w:style w:type="character" w:customStyle="1" w:styleId="IntestazioneCarattere">
    <w:name w:val="Intestazione Carattere"/>
    <w:qFormat/>
    <w:rPr>
      <w:rFonts w:eastAsia="Times New Roman" w:cs="Times New Roman"/>
      <w:lang w:val="x-none" w:eastAsia="it-IT"/>
    </w:rPr>
  </w:style>
  <w:style w:type="character" w:customStyle="1" w:styleId="PidipaginaCarattere">
    <w:name w:val="Piè di pagina Carattere"/>
    <w:qFormat/>
    <w:rPr>
      <w:rFonts w:eastAsia="Times New Roman" w:cs="Times New Roman"/>
      <w:lang w:val="x-none" w:eastAsia="it-IT"/>
    </w:rPr>
  </w:style>
  <w:style w:type="character" w:customStyle="1" w:styleId="TestonotaapidipaginaCarattere">
    <w:name w:val="Testo nota a piè di pagina Carattere"/>
    <w:qFormat/>
    <w:rPr>
      <w:rFonts w:eastAsia="Times New Roman" w:cs="Times New Roman"/>
      <w:sz w:val="20"/>
      <w:szCs w:val="20"/>
      <w:lang w:val="x-none" w:eastAsia="it-IT"/>
    </w:rPr>
  </w:style>
  <w:style w:type="character" w:customStyle="1" w:styleId="Richiamoallanotaapidipagina">
    <w:name w:val="Richiamo alla nota a piè di pagina"/>
    <w:rPr>
      <w:rFonts w:cs="Times New Roman"/>
      <w:vertAlign w:val="superscript"/>
    </w:rPr>
  </w:style>
  <w:style w:type="character" w:customStyle="1" w:styleId="FootnoteCharacters">
    <w:name w:val="Footnote Characters"/>
    <w:basedOn w:val="Carpredefinitoparagrafo"/>
    <w:uiPriority w:val="99"/>
    <w:semiHidden/>
    <w:unhideWhenUsed/>
    <w:qFormat/>
    <w:rsid w:val="00CE51F7"/>
    <w:rPr>
      <w:vertAlign w:val="superscript"/>
    </w:rPr>
  </w:style>
  <w:style w:type="character" w:customStyle="1" w:styleId="CollegamentoInternet">
    <w:name w:val="Collegamento Internet"/>
    <w:basedOn w:val="Carpredefinitoparagrafo"/>
    <w:uiPriority w:val="99"/>
    <w:unhideWhenUsed/>
    <w:rsid w:val="00D24928"/>
    <w:rPr>
      <w:color w:val="0563C1" w:themeColor="hyperlink"/>
      <w:u w:val="single"/>
    </w:rPr>
  </w:style>
  <w:style w:type="character" w:customStyle="1" w:styleId="Stile1Carattere">
    <w:name w:val="Stile1 Carattere"/>
    <w:qFormat/>
    <w:rPr>
      <w:rFonts w:ascii="Times New Roman" w:hAnsi="Times New Roman" w:cs="Times New Roman"/>
      <w:b/>
      <w:bCs/>
      <w:color w:val="365F91"/>
      <w:sz w:val="28"/>
      <w:szCs w:val="28"/>
      <w:lang w:val="x-none" w:eastAsia="it-IT"/>
    </w:rPr>
  </w:style>
  <w:style w:type="character" w:customStyle="1" w:styleId="NoSpacingChar">
    <w:name w:val="No Spacing Char"/>
    <w:qFormat/>
    <w:rPr>
      <w:sz w:val="22"/>
      <w:szCs w:val="22"/>
      <w:lang w:val="it-IT" w:eastAsia="en-US" w:bidi="ar-SA"/>
    </w:rPr>
  </w:style>
  <w:style w:type="character" w:customStyle="1" w:styleId="Enfasi">
    <w:name w:val="Enfasi"/>
    <w:qFormat/>
    <w:rPr>
      <w:rFonts w:cs="Times New Roman"/>
      <w:i/>
      <w:iCs/>
    </w:rPr>
  </w:style>
  <w:style w:type="character" w:customStyle="1" w:styleId="TestonotadichiusuraCarattere">
    <w:name w:val="Testo nota di chiusura Carattere"/>
    <w:qFormat/>
    <w:rPr>
      <w:rFonts w:eastAsia="Times New Roman"/>
      <w:lang w:eastAsia="en-US"/>
    </w:rPr>
  </w:style>
  <w:style w:type="character" w:customStyle="1" w:styleId="Richiamoallanotadichiusura">
    <w:name w:val="Richiamo alla nota di chiusura"/>
    <w:rPr>
      <w:vertAlign w:val="superscript"/>
    </w:rPr>
  </w:style>
  <w:style w:type="character" w:customStyle="1" w:styleId="EndnoteCharacters">
    <w:name w:val="Endnote Characters"/>
    <w:qFormat/>
    <w:rPr>
      <w:vertAlign w:val="superscript"/>
    </w:rPr>
  </w:style>
  <w:style w:type="character" w:customStyle="1" w:styleId="descrizione">
    <w:name w:val="descrizione"/>
    <w:qFormat/>
    <w:rPr>
      <w:b/>
      <w:bCs/>
      <w:color w:val="5B76A0"/>
      <w:sz w:val="28"/>
      <w:szCs w:val="28"/>
    </w:rPr>
  </w:style>
  <w:style w:type="character" w:styleId="Enfasigrassetto">
    <w:name w:val="Strong"/>
    <w:qFormat/>
    <w:rPr>
      <w:b/>
      <w:bCs/>
    </w:rPr>
  </w:style>
  <w:style w:type="character" w:customStyle="1" w:styleId="provvrubrica">
    <w:name w:val="provv_rubrica"/>
    <w:qFormat/>
    <w:rPr>
      <w:i/>
      <w:iCs/>
    </w:rPr>
  </w:style>
  <w:style w:type="character" w:styleId="Rimandocommento">
    <w:name w:val="annotation reference"/>
    <w:qFormat/>
    <w:rPr>
      <w:sz w:val="16"/>
      <w:szCs w:val="16"/>
    </w:rPr>
  </w:style>
  <w:style w:type="character" w:customStyle="1" w:styleId="TestocommentoCarattere">
    <w:name w:val="Testo commento Carattere"/>
    <w:qFormat/>
    <w:rPr>
      <w:rFonts w:eastAsia="Times New Roman"/>
      <w:lang w:eastAsia="en-US"/>
    </w:rPr>
  </w:style>
  <w:style w:type="character" w:customStyle="1" w:styleId="SoggettocommentoCarattere">
    <w:name w:val="Soggetto commento Carattere"/>
    <w:qFormat/>
    <w:rPr>
      <w:rFonts w:eastAsia="Times New Roman"/>
      <w:b/>
      <w:bCs/>
      <w:lang w:eastAsia="en-US"/>
    </w:rPr>
  </w:style>
  <w:style w:type="character" w:customStyle="1" w:styleId="provvnumcomma">
    <w:name w:val="provv_numcomma"/>
    <w:basedOn w:val="Carpredefinitoparagrafo"/>
    <w:qFormat/>
  </w:style>
  <w:style w:type="character" w:customStyle="1" w:styleId="anchorantimarker">
    <w:name w:val="anchor_anti_marker"/>
    <w:qFormat/>
    <w:rPr>
      <w:color w:val="000000"/>
    </w:rPr>
  </w:style>
  <w:style w:type="character" w:customStyle="1" w:styleId="linkneltesto">
    <w:name w:val="link_nel_testo"/>
    <w:qFormat/>
    <w:rPr>
      <w:i/>
      <w:iCs/>
    </w:rPr>
  </w:style>
  <w:style w:type="character" w:customStyle="1" w:styleId="CorpotestoCarattere1">
    <w:name w:val="Corpo testo Carattere1"/>
    <w:qFormat/>
    <w:rPr>
      <w:rFonts w:ascii="Times New Roman" w:eastAsia="Times New Roman" w:hAnsi="Times New Roman"/>
      <w:sz w:val="26"/>
    </w:rPr>
  </w:style>
  <w:style w:type="character" w:customStyle="1" w:styleId="Rientrocorpodeltesto3Carattere">
    <w:name w:val="Rientro corpo del testo 3 Carattere"/>
    <w:qFormat/>
    <w:rPr>
      <w:rFonts w:eastAsia="Times New Roman"/>
      <w:sz w:val="16"/>
      <w:szCs w:val="16"/>
      <w:lang w:eastAsia="en-US"/>
    </w:rPr>
  </w:style>
  <w:style w:type="character" w:customStyle="1" w:styleId="Corpodeltesto2Carattere">
    <w:name w:val="Corpo del testo 2 Carattere"/>
    <w:qFormat/>
    <w:rPr>
      <w:rFonts w:eastAsia="Times New Roman"/>
      <w:sz w:val="22"/>
      <w:szCs w:val="22"/>
      <w:lang w:eastAsia="en-US"/>
    </w:rPr>
  </w:style>
  <w:style w:type="character" w:customStyle="1" w:styleId="Titolo2Carattere">
    <w:name w:val="Titolo 2 Carattere"/>
    <w:qFormat/>
    <w:rPr>
      <w:rFonts w:ascii="Garamond" w:eastAsia="Times New Roman" w:hAnsi="Garamond"/>
      <w:b/>
      <w:bCs/>
      <w:iCs/>
      <w:caps/>
      <w:sz w:val="24"/>
      <w:szCs w:val="28"/>
      <w:lang w:val="x-none" w:eastAsia="en-US"/>
    </w:rPr>
  </w:style>
  <w:style w:type="character" w:customStyle="1" w:styleId="noteapiCarattere">
    <w:name w:val="note a piè Carattere"/>
    <w:qFormat/>
    <w:rPr>
      <w:rFonts w:ascii="Times New Roman" w:eastAsia="Times New Roman" w:hAnsi="Times New Roman" w:cs="Times New Roman"/>
      <w:sz w:val="20"/>
      <w:szCs w:val="20"/>
      <w:lang w:val="x-none" w:eastAsia="it-IT"/>
    </w:rPr>
  </w:style>
  <w:style w:type="character" w:customStyle="1" w:styleId="provvnumart">
    <w:name w:val="provv_numart"/>
    <w:qFormat/>
    <w:rPr>
      <w:b/>
      <w:bCs/>
    </w:rPr>
  </w:style>
  <w:style w:type="character" w:customStyle="1" w:styleId="MappadocumentoCarattere">
    <w:name w:val="Mappa documento Carattere"/>
    <w:qFormat/>
    <w:rPr>
      <w:rFonts w:ascii="Tahoma" w:eastAsia="Times New Roman" w:hAnsi="Tahoma" w:cs="Tahoma"/>
      <w:sz w:val="16"/>
      <w:szCs w:val="16"/>
      <w:lang w:eastAsia="en-US"/>
    </w:rPr>
  </w:style>
  <w:style w:type="character" w:customStyle="1" w:styleId="provvvigore">
    <w:name w:val="provv_vigore"/>
    <w:qFormat/>
    <w:rPr>
      <w:vanish w:val="0"/>
    </w:rPr>
  </w:style>
  <w:style w:type="character" w:customStyle="1" w:styleId="riferimento1">
    <w:name w:val="riferimento1"/>
    <w:qFormat/>
    <w:rPr>
      <w:i/>
      <w:iCs/>
      <w:color w:val="058940"/>
    </w:rPr>
  </w:style>
  <w:style w:type="character" w:customStyle="1" w:styleId="SottotitoloCarattere">
    <w:name w:val="Sottotitolo Carattere"/>
    <w:qFormat/>
    <w:rPr>
      <w:rFonts w:ascii="Cambria" w:eastAsia="Times New Roman" w:hAnsi="Cambria" w:cs="Times New Roman"/>
      <w:sz w:val="24"/>
      <w:szCs w:val="24"/>
      <w:lang w:eastAsia="en-US"/>
    </w:rPr>
  </w:style>
  <w:style w:type="character" w:customStyle="1" w:styleId="TitoloCarattere">
    <w:name w:val="Titolo Carattere"/>
    <w:qFormat/>
    <w:rPr>
      <w:rFonts w:ascii="Cambria" w:eastAsia="Times New Roman" w:hAnsi="Cambria" w:cs="Times New Roman"/>
      <w:b/>
      <w:bCs/>
      <w:kern w:val="2"/>
      <w:sz w:val="32"/>
      <w:szCs w:val="32"/>
      <w:lang w:eastAsia="en-US"/>
    </w:rPr>
  </w:style>
  <w:style w:type="character" w:customStyle="1" w:styleId="CollegamentoInternetvisitato">
    <w:name w:val="Collegamento Internet visitato"/>
    <w:rPr>
      <w:color w:val="800080"/>
      <w:u w:val="single"/>
    </w:rPr>
  </w:style>
  <w:style w:type="character" w:customStyle="1" w:styleId="Rientrocorpodeltesto2Carattere">
    <w:name w:val="Rientro corpo del testo 2 Carattere"/>
    <w:qFormat/>
    <w:rPr>
      <w:rFonts w:ascii="Times New Roman" w:eastAsia="Times New Roman" w:hAnsi="Times New Roman"/>
      <w:sz w:val="24"/>
      <w:szCs w:val="24"/>
    </w:rPr>
  </w:style>
  <w:style w:type="character" w:customStyle="1" w:styleId="CorpotestoCarattere">
    <w:name w:val="Corpo testo Carattere"/>
    <w:qFormat/>
    <w:rPr>
      <w:rFonts w:ascii="Times New Roman" w:eastAsia="Times New Roman" w:hAnsi="Times New Roman" w:cs="Times New Roman"/>
      <w:sz w:val="26"/>
      <w:szCs w:val="24"/>
      <w:lang w:eastAsia="it-IT"/>
    </w:rPr>
  </w:style>
  <w:style w:type="character" w:styleId="Numeropagina">
    <w:name w:val="page number"/>
    <w:qFormat/>
  </w:style>
  <w:style w:type="character" w:customStyle="1" w:styleId="RientrocorpodeltestoCarattere">
    <w:name w:val="Rientro corpo del testo Carattere"/>
    <w:qFormat/>
    <w:rPr>
      <w:rFonts w:ascii="Times New Roman" w:eastAsia="Times New Roman" w:hAnsi="Times New Roman"/>
      <w:b/>
      <w:bCs/>
      <w:i/>
      <w:iCs/>
    </w:rPr>
  </w:style>
  <w:style w:type="character" w:customStyle="1" w:styleId="Corpodeltesto3Carattere">
    <w:name w:val="Corpo del testo 3 Carattere"/>
    <w:qFormat/>
    <w:rPr>
      <w:rFonts w:ascii="Times New Roman" w:eastAsia="Times New Roman" w:hAnsi="Times New Roman"/>
      <w:b/>
      <w:bCs/>
      <w:i/>
      <w:iCs/>
      <w:szCs w:val="24"/>
    </w:rPr>
  </w:style>
  <w:style w:type="character" w:customStyle="1" w:styleId="CarattereCarattere2">
    <w:name w:val="Carattere Carattere2"/>
    <w:qFormat/>
    <w:rPr>
      <w:sz w:val="26"/>
      <w:szCs w:val="24"/>
      <w:lang w:val="it-IT" w:eastAsia="it-IT" w:bidi="ar-SA"/>
    </w:rPr>
  </w:style>
  <w:style w:type="character" w:customStyle="1" w:styleId="st1">
    <w:name w:val="st1"/>
    <w:qFormat/>
  </w:style>
  <w:style w:type="character" w:customStyle="1" w:styleId="Titolo4Carattere">
    <w:name w:val="Titolo 4 Carattere"/>
    <w:basedOn w:val="Carpredefinitoparagrafo"/>
    <w:qFormat/>
    <w:rPr>
      <w:rFonts w:ascii="Cambria" w:eastAsia="Calibri" w:hAnsi="Cambria" w:cs="Times New Roman"/>
      <w:b/>
      <w:bCs/>
      <w:i/>
      <w:iCs/>
      <w:color w:val="4F81BD"/>
      <w:sz w:val="22"/>
      <w:szCs w:val="22"/>
      <w:lang w:eastAsia="en-US"/>
    </w:rPr>
  </w:style>
  <w:style w:type="character" w:customStyle="1" w:styleId="TestonormaleCarattere">
    <w:name w:val="Testo normale Carattere"/>
    <w:basedOn w:val="Carpredefinitoparagrafo"/>
    <w:qFormat/>
    <w:rPr>
      <w:rFonts w:ascii="Garamond" w:eastAsia="Times New Roman" w:hAnsi="Garamond" w:cs="Consolas"/>
      <w:sz w:val="24"/>
      <w:szCs w:val="21"/>
      <w:lang w:eastAsia="en-US"/>
    </w:rPr>
  </w:style>
  <w:style w:type="character" w:styleId="Testosegnaposto">
    <w:name w:val="Placeholder Text"/>
    <w:basedOn w:val="Carpredefinitoparagrafo"/>
    <w:qFormat/>
    <w:rPr>
      <w:color w:val="808080"/>
    </w:rPr>
  </w:style>
  <w:style w:type="character" w:customStyle="1" w:styleId="SommariodisciplinareCarattere">
    <w:name w:val="Sommario disciplinare Carattere"/>
    <w:basedOn w:val="Titolo1Carattere"/>
    <w:qFormat/>
    <w:rPr>
      <w:rFonts w:ascii="Garamond" w:eastAsia="Times New Roman" w:hAnsi="Garamond" w:cs="Calibri"/>
      <w:b/>
      <w:bCs/>
      <w:sz w:val="22"/>
      <w:szCs w:val="24"/>
      <w:lang w:val="x-none" w:eastAsia="x-none"/>
    </w:rPr>
  </w:style>
  <w:style w:type="character" w:customStyle="1" w:styleId="apple-converted-space">
    <w:name w:val="apple-converted-space"/>
    <w:basedOn w:val="Carpredefinitoparagrafo"/>
    <w:qFormat/>
  </w:style>
  <w:style w:type="character" w:customStyle="1" w:styleId="Saltoaindice">
    <w:name w:val="Salto a indice"/>
    <w:qFormat/>
  </w:style>
  <w:style w:type="character" w:customStyle="1" w:styleId="WW8Num27z0">
    <w:name w:val="WW8Num27z0"/>
    <w:qFormat/>
    <w:rPr>
      <w:rFonts w:ascii="Calibri" w:hAnsi="Calibri" w:cs="Calibri"/>
      <w:sz w:val="22"/>
      <w:szCs w:val="22"/>
    </w:rPr>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ParagrafoelencoCarattere">
    <w:name w:val="Paragrafo elenco Carattere"/>
    <w:qFormat/>
  </w:style>
  <w:style w:type="character" w:customStyle="1" w:styleId="ANAC-TitoloSottoparagrafoCarattere">
    <w:name w:val="ANAC - Titolo Sottoparagrafo Carattere"/>
    <w:qFormat/>
    <w:rPr>
      <w:rFonts w:ascii="Calibri Light" w:eastAsia="0" w:hAnsi="Calibri Light"/>
      <w:color w:val="2F5496"/>
      <w:sz w:val="28"/>
      <w:szCs w:val="22"/>
    </w:rPr>
  </w:style>
  <w:style w:type="character" w:customStyle="1" w:styleId="ANAC-TitoloParagrafoCarattere">
    <w:name w:val="ANAC - Titolo Paragrafo Carattere"/>
    <w:qFormat/>
    <w:rPr>
      <w:rFonts w:ascii="Gotham Light" w:eastAsia="0" w:hAnsi="Gotham Light"/>
      <w:color w:val="2770B7"/>
      <w:sz w:val="28"/>
    </w:rPr>
  </w:style>
  <w:style w:type="character" w:customStyle="1" w:styleId="ANAC-TitoloCapitoloCarattere">
    <w:name w:val="ANAC - Titolo Capitolo Carattere"/>
    <w:qFormat/>
    <w:rPr>
      <w:rFonts w:ascii="Gotham Light" w:eastAsia="0" w:hAnsi="Gotham Light"/>
      <w:iCs/>
      <w:color w:val="2F5496"/>
      <w:sz w:val="36"/>
      <w:szCs w:val="40"/>
    </w:rPr>
  </w:style>
  <w:style w:type="character" w:customStyle="1" w:styleId="ANAC-CapitoloCarattere">
    <w:name w:val="ANAC - Capitolo Carattere"/>
    <w:qFormat/>
    <w:rPr>
      <w:rFonts w:ascii="Calibri Light" w:eastAsia="0" w:hAnsi="Calibri Light"/>
      <w:color w:val="2F5496"/>
      <w:sz w:val="32"/>
      <w:szCs w:val="32"/>
    </w:rPr>
  </w:style>
  <w:style w:type="character" w:customStyle="1" w:styleId="TitoloParagrafoChar">
    <w:name w:val="Titolo Paragrafo Char"/>
    <w:qFormat/>
    <w:rPr>
      <w:rFonts w:ascii="Calibri Light" w:eastAsia="0" w:hAnsi="Calibri Light"/>
      <w:color w:val="2F5496"/>
      <w:sz w:val="28"/>
    </w:rPr>
  </w:style>
  <w:style w:type="character" w:customStyle="1" w:styleId="Titolo7Carattere">
    <w:name w:val="Titolo 7 Carattere"/>
    <w:qFormat/>
    <w:rPr>
      <w:rFonts w:ascii="Calibri Light" w:eastAsia="0" w:hAnsi="Calibri Light"/>
      <w:i/>
      <w:iCs/>
      <w:color w:val="1F3763"/>
    </w:rPr>
  </w:style>
  <w:style w:type="character" w:customStyle="1" w:styleId="Titolo6Carattere">
    <w:name w:val="Titolo 6 Carattere"/>
    <w:qFormat/>
    <w:rPr>
      <w:rFonts w:ascii="Calibri Light" w:eastAsia="0" w:hAnsi="Calibri Light"/>
      <w:color w:val="1F3763"/>
    </w:rPr>
  </w:style>
  <w:style w:type="character" w:customStyle="1" w:styleId="TitoloCapitoloChar">
    <w:name w:val="Titolo Capitolo Char"/>
    <w:qFormat/>
    <w:rPr>
      <w:rFonts w:ascii="Gotham Light" w:eastAsia="0" w:hAnsi="Gotham Light"/>
      <w:iCs/>
      <w:color w:val="2F5496"/>
      <w:sz w:val="36"/>
      <w:szCs w:val="40"/>
    </w:rPr>
  </w:style>
  <w:style w:type="character" w:customStyle="1" w:styleId="NumeroCapitoloChar">
    <w:name w:val="Numero Capitolo Char"/>
    <w:qFormat/>
    <w:rPr>
      <w:rFonts w:ascii="Gotham Light" w:eastAsia="0" w:hAnsi="Gotham Light"/>
      <w:color w:val="2770B7"/>
      <w:sz w:val="48"/>
      <w:szCs w:val="36"/>
    </w:rPr>
  </w:style>
  <w:style w:type="character" w:customStyle="1" w:styleId="TitoloParteChar">
    <w:name w:val="Titolo Parte Char"/>
    <w:qFormat/>
    <w:rPr>
      <w:rFonts w:ascii="Gotham Book" w:eastAsia="Times New Roman (Corpo CS)" w:hAnsi="Gotham Book"/>
      <w:caps/>
      <w:color w:val="FFFFFF"/>
      <w:sz w:val="40"/>
      <w:szCs w:val="40"/>
      <w:lang w:eastAsia="zh-CN"/>
    </w:rPr>
  </w:style>
  <w:style w:type="character" w:customStyle="1" w:styleId="ParteNumeroChar">
    <w:name w:val="Parte Numero Char"/>
    <w:qFormat/>
    <w:rPr>
      <w:rFonts w:ascii="Gotham Medium" w:eastAsia="Times New Roman (Corpo CS)" w:hAnsi="Gotham Medium"/>
      <w:caps/>
      <w:color w:val="FFFFFF"/>
      <w:sz w:val="28"/>
      <w:szCs w:val="28"/>
    </w:rPr>
  </w:style>
  <w:style w:type="character" w:customStyle="1" w:styleId="ParagrafobaseChar">
    <w:name w:val="[Paragrafo base] Char"/>
    <w:qFormat/>
    <w:rPr>
      <w:rFonts w:ascii="Minion Pro" w:eastAsia="Minion Pro" w:hAnsi="Minion Pro"/>
      <w:color w:val="000000"/>
    </w:rPr>
  </w:style>
  <w:style w:type="character" w:customStyle="1" w:styleId="NessunaspaziaturaCarattere">
    <w:name w:val="Nessuna spaziatura Carattere"/>
    <w:qFormat/>
    <w:rPr>
      <w:rFonts w:eastAsia="0"/>
      <w:szCs w:val="22"/>
      <w:lang w:eastAsia="en-US"/>
    </w:rPr>
  </w:style>
  <w:style w:type="character" w:customStyle="1" w:styleId="Caratteridinumerazione">
    <w:name w:val="Caratteri di numerazione"/>
    <w:qFormat/>
  </w:style>
  <w:style w:type="character" w:customStyle="1" w:styleId="Menzionenonrisolta1">
    <w:name w:val="Menzione non risolta1"/>
    <w:basedOn w:val="Carpredefinitoparagrafo"/>
    <w:qFormat/>
    <w:rPr>
      <w:color w:val="605E5C"/>
      <w:highlight w:val="lightGray"/>
    </w:rPr>
  </w:style>
  <w:style w:type="character" w:customStyle="1" w:styleId="Punti">
    <w:name w:val="Punti"/>
    <w:qFormat/>
    <w:rPr>
      <w:rFonts w:ascii="OpenSymbol" w:eastAsia="OpenSymbol" w:hAnsi="OpenSymbol" w:cs="OpenSymbol"/>
    </w:rPr>
  </w:style>
  <w:style w:type="character" w:customStyle="1" w:styleId="Caratterinotaapidipagina">
    <w:name w:val="Caratteri nota a piè di pagina"/>
    <w:qFormat/>
  </w:style>
  <w:style w:type="character" w:customStyle="1" w:styleId="Caratterinotadichiusura">
    <w:name w:val="Caratteri nota di chiusura"/>
    <w:qFormat/>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Typewriter">
    <w:name w:val="Typewriter"/>
    <w:qFormat/>
    <w:rPr>
      <w:rFonts w:ascii="Courier New" w:hAnsi="Courier New"/>
      <w:sz w:val="20"/>
    </w:rPr>
  </w:style>
  <w:style w:type="character" w:customStyle="1" w:styleId="HTMLMarkup">
    <w:name w:val="HTML Markup"/>
    <w:qFormat/>
    <w:rPr>
      <w:vanish/>
      <w:color w:val="FF0000"/>
    </w:rPr>
  </w:style>
  <w:style w:type="character" w:customStyle="1" w:styleId="Comment">
    <w:name w:val="Comment"/>
    <w:qFormat/>
    <w:rPr>
      <w:vanish/>
    </w:rPr>
  </w:style>
  <w:style w:type="paragraph" w:styleId="Titolo">
    <w:name w:val="Title"/>
    <w:basedOn w:val="Normale"/>
    <w:next w:val="Corpotesto"/>
    <w:qFormat/>
    <w:pPr>
      <w:spacing w:before="240" w:after="60"/>
      <w:jc w:val="center"/>
      <w:outlineLvl w:val="0"/>
    </w:pPr>
    <w:rPr>
      <w:rFonts w:ascii="Cambria" w:hAnsi="Cambria"/>
      <w:b/>
      <w:bCs/>
      <w:kern w:val="2"/>
      <w:sz w:val="32"/>
      <w:szCs w:val="32"/>
      <w:lang w:val="x-none"/>
    </w:rPr>
  </w:style>
  <w:style w:type="paragraph" w:styleId="Corpotesto">
    <w:name w:val="Body Text"/>
    <w:basedOn w:val="Normale"/>
    <w:link w:val="CorpotestoCarattere2"/>
    <w:pPr>
      <w:widowControl w:val="0"/>
      <w:spacing w:line="259" w:lineRule="exact"/>
    </w:pPr>
    <w:rPr>
      <w:rFonts w:ascii="Times New Roman" w:hAnsi="Times New Roman"/>
      <w:sz w:val="26"/>
      <w:szCs w:val="20"/>
      <w:lang w:val="x-none" w:eastAsia="x-none"/>
    </w:rPr>
  </w:style>
  <w:style w:type="paragraph" w:styleId="Elenco">
    <w:name w:val="List"/>
    <w:basedOn w:val="Corpotesto"/>
    <w:rPr>
      <w:rFonts w:cs="Lucida Sans"/>
    </w:rPr>
  </w:style>
  <w:style w:type="paragraph" w:styleId="Didascalia">
    <w:name w:val="caption"/>
    <w:basedOn w:val="Normale"/>
    <w:next w:val="Normale"/>
    <w:qFormat/>
    <w:pPr>
      <w:spacing w:before="120"/>
    </w:pPr>
    <w:rPr>
      <w:iCs/>
      <w:szCs w:val="18"/>
    </w:rPr>
  </w:style>
  <w:style w:type="paragraph" w:customStyle="1" w:styleId="Indice">
    <w:name w:val="Indice"/>
    <w:basedOn w:val="Normale"/>
    <w:qFormat/>
    <w:pPr>
      <w:suppressLineNumbers/>
    </w:pPr>
    <w:rPr>
      <w:rFonts w:cs="Lucida Sans"/>
    </w:rPr>
  </w:style>
  <w:style w:type="paragraph" w:customStyle="1" w:styleId="Default">
    <w:name w:val="Default"/>
    <w:qFormat/>
    <w:pPr>
      <w:widowControl w:val="0"/>
      <w:spacing w:line="276" w:lineRule="auto"/>
      <w:jc w:val="both"/>
    </w:pPr>
    <w:rPr>
      <w:rFonts w:ascii="Book-Antiqua,Bold" w:hAnsi="Book-Antiqua,Bold" w:cs="Book-Antiqua,Bold"/>
      <w:color w:val="000000"/>
      <w:sz w:val="24"/>
      <w:szCs w:val="24"/>
    </w:rPr>
  </w:style>
  <w:style w:type="paragraph" w:styleId="Testofumetto">
    <w:name w:val="Balloon Text"/>
    <w:basedOn w:val="Normale"/>
    <w:qFormat/>
    <w:pPr>
      <w:spacing w:line="240" w:lineRule="auto"/>
    </w:pPr>
    <w:rPr>
      <w:rFonts w:ascii="Tahoma" w:eastAsia="Calibri" w:hAnsi="Tahoma"/>
      <w:sz w:val="16"/>
      <w:szCs w:val="16"/>
      <w:lang w:val="x-none" w:eastAsia="x-none"/>
    </w:rPr>
  </w:style>
  <w:style w:type="paragraph" w:customStyle="1" w:styleId="Paragrafoelenco1">
    <w:name w:val="Paragrafo elenco1"/>
    <w:basedOn w:val="Normale"/>
    <w:qFormat/>
    <w:pPr>
      <w:spacing w:before="280" w:after="280" w:line="240" w:lineRule="atLeast"/>
      <w:ind w:left="720"/>
      <w:contextualSpacing/>
    </w:pPr>
    <w:rPr>
      <w:rFonts w:eastAsia="Calibri"/>
      <w:lang w:eastAsia="it-IT"/>
    </w:rPr>
  </w:style>
  <w:style w:type="paragraph" w:customStyle="1" w:styleId="Intestazioneepidipagina">
    <w:name w:val="Intestazione e piè di pagina"/>
    <w:basedOn w:val="Normale"/>
    <w:qFormat/>
  </w:style>
  <w:style w:type="paragraph" w:styleId="Intestazione">
    <w:name w:val="header"/>
    <w:basedOn w:val="Normale"/>
    <w:pPr>
      <w:tabs>
        <w:tab w:val="center" w:pos="4819"/>
        <w:tab w:val="right" w:pos="9638"/>
      </w:tabs>
      <w:spacing w:before="280" w:after="280" w:line="240" w:lineRule="auto"/>
    </w:pPr>
    <w:rPr>
      <w:sz w:val="20"/>
      <w:szCs w:val="20"/>
      <w:lang w:val="x-none" w:eastAsia="it-IT"/>
    </w:rPr>
  </w:style>
  <w:style w:type="paragraph" w:styleId="Pidipagina">
    <w:name w:val="footer"/>
    <w:basedOn w:val="Normale"/>
    <w:pPr>
      <w:tabs>
        <w:tab w:val="center" w:pos="4819"/>
        <w:tab w:val="right" w:pos="9638"/>
      </w:tabs>
      <w:spacing w:before="280" w:after="280" w:line="240" w:lineRule="auto"/>
    </w:pPr>
    <w:rPr>
      <w:sz w:val="20"/>
      <w:szCs w:val="20"/>
      <w:lang w:val="x-none" w:eastAsia="it-IT"/>
    </w:rPr>
  </w:style>
  <w:style w:type="paragraph" w:styleId="Testonotaapidipagina">
    <w:name w:val="footnote text"/>
    <w:basedOn w:val="Normale"/>
    <w:link w:val="TestonotaapidipaginaCarattere1"/>
    <w:pPr>
      <w:spacing w:before="280" w:after="280" w:line="240" w:lineRule="auto"/>
    </w:pPr>
    <w:rPr>
      <w:sz w:val="20"/>
      <w:szCs w:val="20"/>
      <w:lang w:val="x-none" w:eastAsia="it-IT"/>
    </w:rPr>
  </w:style>
  <w:style w:type="paragraph" w:customStyle="1" w:styleId="provvr0">
    <w:name w:val="provv_r0"/>
    <w:basedOn w:val="Normale"/>
    <w:qFormat/>
    <w:pPr>
      <w:spacing w:before="280" w:after="280" w:line="240" w:lineRule="auto"/>
    </w:pPr>
    <w:rPr>
      <w:rFonts w:ascii="Times New Roman" w:eastAsia="Calibri" w:hAnsi="Times New Roman"/>
      <w:szCs w:val="24"/>
      <w:lang w:eastAsia="it-IT"/>
    </w:rPr>
  </w:style>
  <w:style w:type="paragraph" w:customStyle="1" w:styleId="popolo">
    <w:name w:val="popolo"/>
    <w:basedOn w:val="Normale"/>
    <w:qFormat/>
    <w:pPr>
      <w:spacing w:before="280" w:after="280" w:line="240" w:lineRule="auto"/>
    </w:pPr>
    <w:rPr>
      <w:rFonts w:eastAsia="Calibri"/>
      <w:sz w:val="30"/>
      <w:szCs w:val="30"/>
      <w:lang w:eastAsia="it-IT"/>
    </w:rPr>
  </w:style>
  <w:style w:type="paragraph" w:customStyle="1" w:styleId="Stile1">
    <w:name w:val="Stile1"/>
    <w:basedOn w:val="Titolo1"/>
    <w:qFormat/>
    <w:pPr>
      <w:spacing w:line="240" w:lineRule="atLeast"/>
    </w:pPr>
    <w:rPr>
      <w:rFonts w:ascii="Times New Roman" w:hAnsi="Times New Roman"/>
      <w:lang w:eastAsia="it-IT"/>
    </w:rPr>
  </w:style>
  <w:style w:type="paragraph" w:styleId="Sommario1">
    <w:name w:val="toc 1"/>
    <w:basedOn w:val="Normale"/>
    <w:next w:val="Normale"/>
    <w:autoRedefine/>
    <w:uiPriority w:val="39"/>
    <w:pPr>
      <w:tabs>
        <w:tab w:val="left" w:leader="dot" w:pos="284"/>
        <w:tab w:val="right" w:leader="dot" w:pos="9629"/>
      </w:tabs>
      <w:jc w:val="left"/>
    </w:pPr>
    <w:rPr>
      <w:b/>
      <w:bCs/>
      <w:sz w:val="22"/>
      <w:szCs w:val="20"/>
    </w:rPr>
  </w:style>
  <w:style w:type="paragraph" w:styleId="Sommario2">
    <w:name w:val="toc 2"/>
    <w:basedOn w:val="Normale"/>
    <w:next w:val="Sommario3"/>
    <w:autoRedefine/>
    <w:uiPriority w:val="39"/>
    <w:pPr>
      <w:tabs>
        <w:tab w:val="left" w:pos="440"/>
        <w:tab w:val="right" w:leader="dot" w:pos="9629"/>
      </w:tabs>
      <w:spacing w:line="336" w:lineRule="auto"/>
      <w:ind w:left="442" w:hanging="442"/>
    </w:pPr>
    <w:rPr>
      <w:smallCaps/>
      <w:sz w:val="20"/>
      <w:szCs w:val="20"/>
    </w:rPr>
  </w:style>
  <w:style w:type="paragraph" w:customStyle="1" w:styleId="Nessunaspaziatura1">
    <w:name w:val="Nessuna spaziatura1"/>
    <w:qFormat/>
    <w:pPr>
      <w:spacing w:line="276" w:lineRule="auto"/>
      <w:jc w:val="both"/>
    </w:pPr>
    <w:rPr>
      <w:sz w:val="22"/>
      <w:szCs w:val="22"/>
      <w:lang w:eastAsia="en-US"/>
    </w:rPr>
  </w:style>
  <w:style w:type="paragraph" w:styleId="NormaleWeb">
    <w:name w:val="Normal (Web)"/>
    <w:basedOn w:val="Normale"/>
    <w:uiPriority w:val="99"/>
    <w:qFormat/>
    <w:pPr>
      <w:spacing w:before="280" w:after="280" w:line="240" w:lineRule="atLeast"/>
    </w:pPr>
    <w:rPr>
      <w:rFonts w:ascii="Arial" w:eastAsia="Calibri" w:hAnsi="Arial" w:cs="Arial"/>
      <w:color w:val="2A2A2A"/>
      <w:sz w:val="18"/>
      <w:szCs w:val="18"/>
      <w:lang w:eastAsia="it-IT"/>
    </w:rPr>
  </w:style>
  <w:style w:type="paragraph" w:customStyle="1" w:styleId="Titolosommario1">
    <w:name w:val="Titolo sommario1"/>
    <w:basedOn w:val="Titolo1"/>
    <w:next w:val="Normale"/>
    <w:qFormat/>
  </w:style>
  <w:style w:type="paragraph" w:styleId="Testonotadichiusura">
    <w:name w:val="endnote text"/>
    <w:basedOn w:val="Normale"/>
    <w:rPr>
      <w:sz w:val="20"/>
      <w:szCs w:val="20"/>
      <w:lang w:val="x-none"/>
    </w:rPr>
  </w:style>
  <w:style w:type="paragraph" w:customStyle="1" w:styleId="provvr1">
    <w:name w:val="provv_r1"/>
    <w:basedOn w:val="Normale"/>
    <w:qFormat/>
    <w:pPr>
      <w:spacing w:before="280" w:after="280" w:line="240" w:lineRule="auto"/>
      <w:ind w:firstLine="400"/>
    </w:pPr>
    <w:rPr>
      <w:rFonts w:ascii="Times New Roman" w:hAnsi="Times New Roman"/>
      <w:szCs w:val="24"/>
      <w:lang w:eastAsia="it-IT"/>
    </w:rPr>
  </w:style>
  <w:style w:type="paragraph" w:styleId="Testocommento">
    <w:name w:val="annotation text"/>
    <w:basedOn w:val="Normale"/>
    <w:link w:val="TestocommentoCarattere1"/>
    <w:uiPriority w:val="99"/>
    <w:qFormat/>
    <w:rPr>
      <w:sz w:val="20"/>
      <w:szCs w:val="20"/>
      <w:lang w:val="x-none"/>
    </w:rPr>
  </w:style>
  <w:style w:type="paragraph" w:styleId="Soggettocommento">
    <w:name w:val="annotation subject"/>
    <w:basedOn w:val="Testocommento"/>
    <w:next w:val="Testocommento"/>
    <w:qFormat/>
    <w:rPr>
      <w:b/>
      <w:bCs/>
    </w:rPr>
  </w:style>
  <w:style w:type="paragraph" w:customStyle="1" w:styleId="stile10">
    <w:name w:val="stile1"/>
    <w:basedOn w:val="Normale"/>
    <w:qFormat/>
    <w:pPr>
      <w:spacing w:before="280" w:after="280" w:line="240" w:lineRule="auto"/>
    </w:pPr>
    <w:rPr>
      <w:rFonts w:ascii="Times New Roman" w:hAnsi="Times New Roman"/>
      <w:szCs w:val="24"/>
      <w:lang w:eastAsia="it-IT"/>
    </w:rPr>
  </w:style>
  <w:style w:type="paragraph" w:customStyle="1" w:styleId="bollo">
    <w:name w:val="bollo"/>
    <w:basedOn w:val="Normale"/>
    <w:qFormat/>
    <w:pPr>
      <w:spacing w:line="567" w:lineRule="atLeast"/>
    </w:pPr>
    <w:rPr>
      <w:rFonts w:ascii="Times New Roman" w:hAnsi="Times New Roman"/>
      <w:szCs w:val="20"/>
      <w:lang w:eastAsia="it-IT"/>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34"/>
    <w:qFormat/>
    <w:pPr>
      <w:ind w:left="720"/>
    </w:pPr>
    <w:rPr>
      <w:rFonts w:eastAsia="Calibri"/>
      <w:lang w:eastAsia="it-IT"/>
    </w:rPr>
  </w:style>
  <w:style w:type="paragraph" w:customStyle="1" w:styleId="provvnota">
    <w:name w:val="provv_nota"/>
    <w:basedOn w:val="Normale"/>
    <w:qFormat/>
    <w:pPr>
      <w:spacing w:before="280" w:after="280" w:line="240" w:lineRule="auto"/>
    </w:pPr>
    <w:rPr>
      <w:rFonts w:ascii="Times New Roman" w:hAnsi="Times New Roman"/>
      <w:szCs w:val="24"/>
      <w:lang w:eastAsia="it-IT"/>
    </w:rPr>
  </w:style>
  <w:style w:type="paragraph" w:customStyle="1" w:styleId="provvestremo">
    <w:name w:val="provv_estremo"/>
    <w:basedOn w:val="Normale"/>
    <w:qFormat/>
    <w:pPr>
      <w:spacing w:before="280" w:after="280" w:line="240" w:lineRule="auto"/>
    </w:pPr>
    <w:rPr>
      <w:rFonts w:ascii="Times New Roman" w:hAnsi="Times New Roman"/>
      <w:b/>
      <w:bCs/>
      <w:szCs w:val="24"/>
      <w:lang w:eastAsia="it-IT"/>
    </w:rPr>
  </w:style>
  <w:style w:type="paragraph" w:customStyle="1" w:styleId="Paragrafoelenco11">
    <w:name w:val="Paragrafo elenco11"/>
    <w:basedOn w:val="Normale"/>
    <w:qFormat/>
    <w:pPr>
      <w:spacing w:before="280" w:after="280" w:line="240" w:lineRule="atLeast"/>
      <w:ind w:left="720"/>
      <w:contextualSpacing/>
    </w:pPr>
    <w:rPr>
      <w:rFonts w:eastAsia="Calibri"/>
      <w:lang w:eastAsia="it-IT"/>
    </w:rPr>
  </w:style>
  <w:style w:type="paragraph" w:styleId="Revisione">
    <w:name w:val="Revision"/>
    <w:qFormat/>
    <w:pPr>
      <w:spacing w:line="276" w:lineRule="auto"/>
      <w:jc w:val="both"/>
    </w:pPr>
    <w:rPr>
      <w:rFonts w:eastAsia="Times New Roman"/>
      <w:sz w:val="22"/>
      <w:szCs w:val="22"/>
      <w:lang w:eastAsia="en-US"/>
    </w:rPr>
  </w:style>
  <w:style w:type="paragraph" w:styleId="Rientrocorpodeltesto3">
    <w:name w:val="Body Text Indent 3"/>
    <w:basedOn w:val="Normale"/>
    <w:qFormat/>
    <w:pPr>
      <w:spacing w:after="120"/>
      <w:ind w:left="283"/>
    </w:pPr>
    <w:rPr>
      <w:sz w:val="16"/>
      <w:szCs w:val="16"/>
      <w:lang w:val="x-none"/>
    </w:rPr>
  </w:style>
  <w:style w:type="paragraph" w:customStyle="1" w:styleId="Rub1">
    <w:name w:val="Rub1"/>
    <w:basedOn w:val="Normale"/>
    <w:qFormat/>
    <w:pPr>
      <w:tabs>
        <w:tab w:val="left" w:pos="1276"/>
      </w:tabs>
      <w:spacing w:line="240" w:lineRule="auto"/>
    </w:pPr>
    <w:rPr>
      <w:rFonts w:ascii="Times New Roman" w:hAnsi="Times New Roman"/>
      <w:b/>
      <w:smallCaps/>
      <w:sz w:val="20"/>
      <w:szCs w:val="20"/>
      <w:lang w:eastAsia="it-IT"/>
    </w:rPr>
  </w:style>
  <w:style w:type="paragraph" w:styleId="Corpodeltesto2">
    <w:name w:val="Body Text 2"/>
    <w:basedOn w:val="Normale"/>
    <w:qFormat/>
    <w:pPr>
      <w:spacing w:after="120" w:line="480" w:lineRule="auto"/>
    </w:pPr>
    <w:rPr>
      <w:lang w:val="x-none"/>
    </w:rPr>
  </w:style>
  <w:style w:type="paragraph" w:customStyle="1" w:styleId="Rientrocorpodeltesto21">
    <w:name w:val="Rientro corpo del testo 21"/>
    <w:basedOn w:val="Normale"/>
    <w:qFormat/>
    <w:pPr>
      <w:spacing w:line="240" w:lineRule="auto"/>
      <w:ind w:left="360"/>
    </w:pPr>
    <w:rPr>
      <w:rFonts w:ascii="Times New Roman" w:hAnsi="Times New Roman"/>
      <w:szCs w:val="20"/>
      <w:lang w:eastAsia="it-IT"/>
    </w:rPr>
  </w:style>
  <w:style w:type="paragraph" w:customStyle="1" w:styleId="noteapi">
    <w:name w:val="note a piè"/>
    <w:basedOn w:val="Testonotaapidipagina"/>
    <w:qFormat/>
    <w:rPr>
      <w:rFonts w:ascii="Times New Roman" w:hAnsi="Times New Roman"/>
    </w:rPr>
  </w:style>
  <w:style w:type="paragraph" w:styleId="Mappadocumento">
    <w:name w:val="Document Map"/>
    <w:basedOn w:val="Normale"/>
    <w:qFormat/>
    <w:rPr>
      <w:rFonts w:ascii="Tahoma" w:hAnsi="Tahoma"/>
      <w:sz w:val="16"/>
      <w:szCs w:val="16"/>
      <w:lang w:val="x-none"/>
    </w:rPr>
  </w:style>
  <w:style w:type="paragraph" w:customStyle="1" w:styleId="grassetto1">
    <w:name w:val="grassetto1"/>
    <w:basedOn w:val="Normale"/>
    <w:qFormat/>
    <w:pPr>
      <w:spacing w:after="24" w:line="240" w:lineRule="auto"/>
      <w:jc w:val="left"/>
    </w:pPr>
    <w:rPr>
      <w:rFonts w:ascii="Times New Roman" w:hAnsi="Times New Roman"/>
      <w:b/>
      <w:bCs/>
      <w:szCs w:val="24"/>
      <w:lang w:eastAsia="it-IT"/>
    </w:rPr>
  </w:style>
  <w:style w:type="paragraph" w:styleId="Sottotitolo">
    <w:name w:val="Subtitle"/>
    <w:basedOn w:val="Normale"/>
    <w:next w:val="Normale"/>
    <w:qFormat/>
    <w:pPr>
      <w:spacing w:after="60"/>
      <w:jc w:val="center"/>
      <w:outlineLvl w:val="1"/>
    </w:pPr>
    <w:rPr>
      <w:rFonts w:ascii="Cambria" w:hAnsi="Cambria"/>
      <w:szCs w:val="24"/>
      <w:lang w:val="x-none"/>
    </w:rPr>
  </w:style>
  <w:style w:type="paragraph" w:styleId="Titolosommario">
    <w:name w:val="TOC Heading"/>
    <w:basedOn w:val="Titolo1"/>
    <w:next w:val="Normale"/>
    <w:qFormat/>
    <w:pPr>
      <w:jc w:val="left"/>
    </w:pPr>
    <w:rPr>
      <w:rFonts w:eastAsia="Times New Roman"/>
      <w:lang w:val="it-IT" w:eastAsia="it-IT"/>
    </w:rPr>
  </w:style>
  <w:style w:type="paragraph" w:customStyle="1" w:styleId="provvc">
    <w:name w:val="provv_c"/>
    <w:basedOn w:val="Normale"/>
    <w:qFormat/>
    <w:pPr>
      <w:spacing w:before="280" w:after="280" w:line="240" w:lineRule="auto"/>
      <w:jc w:val="center"/>
    </w:pPr>
    <w:rPr>
      <w:rFonts w:ascii="Times New Roman" w:hAnsi="Times New Roman"/>
      <w:szCs w:val="24"/>
      <w:lang w:eastAsia="it-IT"/>
    </w:rPr>
  </w:style>
  <w:style w:type="paragraph" w:styleId="Sommario3">
    <w:name w:val="toc 3"/>
    <w:basedOn w:val="Normale"/>
    <w:next w:val="Normale"/>
    <w:autoRedefine/>
    <w:uiPriority w:val="39"/>
    <w:rsid w:val="0028556D"/>
    <w:pPr>
      <w:tabs>
        <w:tab w:val="left" w:pos="1100"/>
        <w:tab w:val="right" w:leader="dot" w:pos="9629"/>
      </w:tabs>
      <w:spacing w:line="240" w:lineRule="auto"/>
      <w:ind w:left="896" w:hanging="454"/>
      <w:jc w:val="left"/>
    </w:pPr>
    <w:rPr>
      <w:iCs/>
      <w:sz w:val="20"/>
      <w:szCs w:val="20"/>
    </w:rPr>
  </w:style>
  <w:style w:type="paragraph" w:customStyle="1" w:styleId="Rientrocorpodeltesto211">
    <w:name w:val="Rientro corpo del testo 211"/>
    <w:basedOn w:val="Normale"/>
    <w:qFormat/>
    <w:pPr>
      <w:spacing w:line="240" w:lineRule="auto"/>
      <w:ind w:left="360"/>
    </w:pPr>
    <w:rPr>
      <w:rFonts w:ascii="Times New Roman" w:hAnsi="Times New Roman"/>
      <w:szCs w:val="20"/>
      <w:lang w:eastAsia="it-IT"/>
    </w:rPr>
  </w:style>
  <w:style w:type="paragraph" w:styleId="Rientrocorpodeltesto2">
    <w:name w:val="Body Text Indent 2"/>
    <w:basedOn w:val="Normale"/>
    <w:qFormat/>
    <w:pPr>
      <w:tabs>
        <w:tab w:val="left" w:pos="1068"/>
      </w:tabs>
      <w:spacing w:line="240" w:lineRule="auto"/>
      <w:ind w:left="720"/>
    </w:pPr>
    <w:rPr>
      <w:rFonts w:ascii="Times New Roman" w:hAnsi="Times New Roman"/>
      <w:szCs w:val="24"/>
      <w:lang w:eastAsia="it-IT"/>
    </w:rPr>
  </w:style>
  <w:style w:type="paragraph" w:customStyle="1" w:styleId="sche3">
    <w:name w:val="sche_3"/>
    <w:qFormat/>
    <w:pPr>
      <w:widowControl w:val="0"/>
      <w:jc w:val="both"/>
      <w:textAlignment w:val="baseline"/>
    </w:pPr>
    <w:rPr>
      <w:rFonts w:ascii="Times New Roman" w:eastAsia="Times New Roman" w:hAnsi="Times New Roman"/>
      <w:sz w:val="24"/>
      <w:lang w:val="en-US"/>
    </w:rPr>
  </w:style>
  <w:style w:type="paragraph" w:customStyle="1" w:styleId="Text2">
    <w:name w:val="Text 2"/>
    <w:basedOn w:val="Normale"/>
    <w:qFormat/>
    <w:pPr>
      <w:tabs>
        <w:tab w:val="left" w:pos="2161"/>
      </w:tabs>
      <w:spacing w:after="240" w:line="240" w:lineRule="auto"/>
      <w:ind w:left="1077"/>
    </w:pPr>
    <w:rPr>
      <w:rFonts w:ascii="Times New Roman" w:hAnsi="Times New Roman"/>
      <w:szCs w:val="20"/>
      <w:lang w:eastAsia="it-IT"/>
    </w:rPr>
  </w:style>
  <w:style w:type="paragraph" w:styleId="Rientrocorpodeltesto">
    <w:name w:val="Body Text Indent"/>
    <w:basedOn w:val="Normale"/>
    <w:pPr>
      <w:tabs>
        <w:tab w:val="left" w:pos="0"/>
        <w:tab w:val="left" w:pos="1725"/>
        <w:tab w:val="left" w:pos="8496"/>
      </w:tabs>
      <w:suppressAutoHyphens/>
      <w:spacing w:line="240" w:lineRule="auto"/>
      <w:ind w:left="708"/>
    </w:pPr>
    <w:rPr>
      <w:rFonts w:ascii="Times New Roman" w:hAnsi="Times New Roman"/>
      <w:b/>
      <w:bCs/>
      <w:i/>
      <w:iCs/>
      <w:sz w:val="20"/>
      <w:szCs w:val="20"/>
      <w:lang w:eastAsia="it-IT"/>
    </w:rPr>
  </w:style>
  <w:style w:type="paragraph" w:styleId="Corpodeltesto3">
    <w:name w:val="Body Text 3"/>
    <w:basedOn w:val="Normale"/>
    <w:qFormat/>
    <w:pPr>
      <w:tabs>
        <w:tab w:val="left" w:pos="0"/>
        <w:tab w:val="left" w:pos="8496"/>
      </w:tabs>
      <w:suppressAutoHyphens/>
      <w:spacing w:before="240" w:after="120" w:line="240" w:lineRule="auto"/>
    </w:pPr>
    <w:rPr>
      <w:rFonts w:ascii="Times New Roman" w:hAnsi="Times New Roman"/>
      <w:b/>
      <w:bCs/>
      <w:i/>
      <w:iCs/>
      <w:sz w:val="20"/>
      <w:szCs w:val="24"/>
      <w:lang w:eastAsia="it-IT"/>
    </w:rPr>
  </w:style>
  <w:style w:type="paragraph" w:customStyle="1" w:styleId="Rub3">
    <w:name w:val="Rub3"/>
    <w:basedOn w:val="Normale"/>
    <w:next w:val="Normale"/>
    <w:qFormat/>
    <w:pPr>
      <w:tabs>
        <w:tab w:val="left" w:pos="709"/>
      </w:tabs>
      <w:spacing w:line="240" w:lineRule="auto"/>
    </w:pPr>
    <w:rPr>
      <w:rFonts w:ascii="Times New Roman" w:hAnsi="Times New Roman"/>
      <w:b/>
      <w:i/>
      <w:sz w:val="20"/>
      <w:szCs w:val="20"/>
      <w:lang w:eastAsia="it-IT"/>
    </w:rPr>
  </w:style>
  <w:style w:type="paragraph" w:customStyle="1" w:styleId="Titoloparagrafobandotipo">
    <w:name w:val="Titolo paragrafo bando tipo"/>
    <w:basedOn w:val="Sottotitolo"/>
    <w:autoRedefine/>
    <w:qFormat/>
    <w:pPr>
      <w:keepNext/>
      <w:spacing w:before="300" w:after="120" w:line="240" w:lineRule="auto"/>
      <w:ind w:left="-142"/>
      <w:jc w:val="left"/>
      <w:outlineLvl w:val="0"/>
    </w:pPr>
    <w:rPr>
      <w:rFonts w:ascii="Calibri" w:hAnsi="Calibri"/>
      <w:b/>
      <w:i/>
      <w:szCs w:val="22"/>
      <w:lang w:val="it-IT" w:eastAsia="it-IT"/>
    </w:rPr>
  </w:style>
  <w:style w:type="paragraph" w:customStyle="1" w:styleId="avviso">
    <w:name w:val="avviso"/>
    <w:basedOn w:val="Paragrafoelenco"/>
    <w:qFormat/>
    <w:pPr>
      <w:keepNext/>
      <w:spacing w:before="120" w:after="120" w:line="240" w:lineRule="auto"/>
      <w:ind w:left="0"/>
    </w:pPr>
    <w:rPr>
      <w:rFonts w:eastAsia="Times New Roman"/>
      <w:b/>
      <w:i/>
      <w:szCs w:val="24"/>
      <w:lang w:eastAsia="en-US"/>
    </w:rPr>
  </w:style>
  <w:style w:type="paragraph" w:customStyle="1" w:styleId="CM11">
    <w:name w:val="CM1+1"/>
    <w:basedOn w:val="Default"/>
    <w:next w:val="Default"/>
    <w:qFormat/>
    <w:pPr>
      <w:widowControl/>
      <w:spacing w:line="240" w:lineRule="auto"/>
      <w:jc w:val="left"/>
    </w:pPr>
    <w:rPr>
      <w:rFonts w:ascii="EUAlbertina" w:hAnsi="EUAlbertina" w:cs="Times New Roman"/>
      <w:color w:val="auto"/>
    </w:rPr>
  </w:style>
  <w:style w:type="paragraph" w:customStyle="1" w:styleId="CM31">
    <w:name w:val="CM3+1"/>
    <w:basedOn w:val="Default"/>
    <w:next w:val="Default"/>
    <w:qFormat/>
    <w:pPr>
      <w:widowControl/>
      <w:spacing w:line="240" w:lineRule="auto"/>
      <w:jc w:val="left"/>
    </w:pPr>
    <w:rPr>
      <w:rFonts w:ascii="EUAlbertina" w:hAnsi="EUAlbertina" w:cs="Times New Roman"/>
      <w:color w:val="auto"/>
    </w:rPr>
  </w:style>
  <w:style w:type="paragraph" w:styleId="Nessunaspaziatura">
    <w:name w:val="No Spacing"/>
    <w:qFormat/>
    <w:pPr>
      <w:jc w:val="both"/>
    </w:pPr>
    <w:rPr>
      <w:rFonts w:eastAsia="Times New Roman"/>
      <w:sz w:val="22"/>
      <w:szCs w:val="22"/>
      <w:lang w:eastAsia="en-US"/>
    </w:rPr>
  </w:style>
  <w:style w:type="paragraph" w:customStyle="1" w:styleId="Sommariodisciplinare">
    <w:name w:val="Sommario disciplinare"/>
    <w:basedOn w:val="Sommario1"/>
    <w:next w:val="Titolo2"/>
    <w:autoRedefine/>
    <w:qFormat/>
    <w:rPr>
      <w:rFonts w:cs="Calibri"/>
      <w:szCs w:val="24"/>
      <w:lang w:eastAsia="it-IT"/>
    </w:rPr>
  </w:style>
  <w:style w:type="paragraph" w:styleId="Sommario4">
    <w:name w:val="toc 4"/>
    <w:basedOn w:val="Normale"/>
    <w:next w:val="Normale"/>
    <w:autoRedefine/>
    <w:pPr>
      <w:ind w:left="660"/>
      <w:jc w:val="left"/>
    </w:pPr>
    <w:rPr>
      <w:rFonts w:ascii="Calibri" w:hAnsi="Calibri"/>
      <w:sz w:val="18"/>
      <w:szCs w:val="18"/>
    </w:rPr>
  </w:style>
  <w:style w:type="paragraph" w:styleId="Sommario5">
    <w:name w:val="toc 5"/>
    <w:basedOn w:val="Normale"/>
    <w:next w:val="Normale"/>
    <w:autoRedefine/>
    <w:pPr>
      <w:ind w:left="880"/>
      <w:jc w:val="left"/>
    </w:pPr>
    <w:rPr>
      <w:rFonts w:ascii="Calibri" w:hAnsi="Calibri"/>
      <w:sz w:val="18"/>
      <w:szCs w:val="18"/>
    </w:rPr>
  </w:style>
  <w:style w:type="paragraph" w:styleId="Sommario6">
    <w:name w:val="toc 6"/>
    <w:basedOn w:val="Normale"/>
    <w:next w:val="Normale"/>
    <w:autoRedefine/>
    <w:pPr>
      <w:ind w:left="1100"/>
      <w:jc w:val="left"/>
    </w:pPr>
    <w:rPr>
      <w:rFonts w:ascii="Calibri" w:hAnsi="Calibri"/>
      <w:sz w:val="18"/>
      <w:szCs w:val="18"/>
    </w:rPr>
  </w:style>
  <w:style w:type="paragraph" w:styleId="Sommario7">
    <w:name w:val="toc 7"/>
    <w:basedOn w:val="Normale"/>
    <w:next w:val="Normale"/>
    <w:autoRedefine/>
    <w:pPr>
      <w:ind w:left="1320"/>
      <w:jc w:val="left"/>
    </w:pPr>
    <w:rPr>
      <w:rFonts w:ascii="Calibri" w:hAnsi="Calibri"/>
      <w:sz w:val="18"/>
      <w:szCs w:val="18"/>
    </w:rPr>
  </w:style>
  <w:style w:type="paragraph" w:styleId="Sommario8">
    <w:name w:val="toc 8"/>
    <w:basedOn w:val="Normale"/>
    <w:next w:val="Normale"/>
    <w:autoRedefine/>
    <w:pPr>
      <w:ind w:left="1540"/>
      <w:jc w:val="left"/>
    </w:pPr>
    <w:rPr>
      <w:rFonts w:ascii="Calibri" w:hAnsi="Calibri"/>
      <w:sz w:val="18"/>
      <w:szCs w:val="18"/>
    </w:rPr>
  </w:style>
  <w:style w:type="paragraph" w:styleId="Sommario9">
    <w:name w:val="toc 9"/>
    <w:basedOn w:val="Normale"/>
    <w:next w:val="Normale"/>
    <w:autoRedefine/>
    <w:pPr>
      <w:ind w:left="1760"/>
      <w:jc w:val="left"/>
    </w:pPr>
    <w:rPr>
      <w:rFonts w:ascii="Calibri" w:hAnsi="Calibri"/>
      <w:sz w:val="18"/>
      <w:szCs w:val="18"/>
    </w:rPr>
  </w:style>
  <w:style w:type="paragraph" w:styleId="Testonormale">
    <w:name w:val="Plain Text"/>
    <w:basedOn w:val="Normale"/>
    <w:qFormat/>
    <w:pPr>
      <w:jc w:val="left"/>
    </w:pPr>
    <w:rPr>
      <w:rFonts w:cs="Consolas"/>
      <w:szCs w:val="21"/>
    </w:rPr>
  </w:style>
  <w:style w:type="paragraph" w:customStyle="1" w:styleId="usoboll1">
    <w:name w:val="usoboll1"/>
    <w:basedOn w:val="Normale"/>
    <w:qFormat/>
    <w:pPr>
      <w:widowControl w:val="0"/>
      <w:suppressAutoHyphens/>
      <w:spacing w:line="482" w:lineRule="atLeast"/>
    </w:pPr>
    <w:rPr>
      <w:rFonts w:ascii="Times New Roman" w:hAnsi="Times New Roman"/>
      <w:szCs w:val="20"/>
      <w:lang w:eastAsia="ar-SA"/>
    </w:rPr>
  </w:style>
  <w:style w:type="paragraph" w:customStyle="1" w:styleId="ANCATABELLATITOLOBIANCO">
    <w:name w:val="ANCA_TABELLA_TITOLO BIANCO"/>
    <w:basedOn w:val="Normale"/>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ind w:left="1560" w:right="142"/>
    </w:pPr>
    <w:rPr>
      <w:rFonts w:ascii="Gotham Book" w:hAnsi="Gotham Book" w:cs="Gotham Book"/>
      <w:color w:val="FFFFFF"/>
      <w:sz w:val="20"/>
      <w:szCs w:val="20"/>
    </w:rPr>
  </w:style>
  <w:style w:type="paragraph" w:customStyle="1" w:styleId="ANACTABELLATESTOBIANCO">
    <w:name w:val="ANAC_TABELLA_TESTO_BIANCO"/>
    <w:basedOn w:val="Normale"/>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ind w:left="1560" w:right="142"/>
    </w:pPr>
    <w:rPr>
      <w:rFonts w:ascii="Gotham Book" w:hAnsi="Gotham Book" w:cs="Gotham Book"/>
      <w:color w:val="FFFFFF"/>
      <w:sz w:val="20"/>
      <w:szCs w:val="20"/>
    </w:rPr>
  </w:style>
  <w:style w:type="paragraph" w:customStyle="1" w:styleId="ANACDATA">
    <w:name w:val="ANAC_DATA"/>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iCs/>
      <w:sz w:val="24"/>
      <w:lang w:eastAsia="ar-SA"/>
    </w:rPr>
  </w:style>
  <w:style w:type="paragraph" w:customStyle="1" w:styleId="ANAC-TitoloSottoparagrafo">
    <w:name w:val="ANAC - Titolo Sottoparagrafo"/>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284"/>
    </w:pPr>
    <w:rPr>
      <w:rFonts w:ascii="Calibri Light" w:eastAsia="0" w:hAnsi="Calibri Light"/>
      <w:color w:val="2F5496"/>
      <w:sz w:val="24"/>
      <w:szCs w:val="22"/>
      <w:lang w:eastAsia="ar-SA"/>
    </w:rPr>
  </w:style>
  <w:style w:type="paragraph" w:customStyle="1" w:styleId="ANAC-TitoloParagrafo">
    <w:name w:val="ANAC - Titolo Paragrafo"/>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color w:val="2770B7"/>
      <w:sz w:val="28"/>
      <w:lang w:eastAsia="ar-SA"/>
    </w:rPr>
  </w:style>
  <w:style w:type="paragraph" w:customStyle="1" w:styleId="ANAC-TitoloCapitolo">
    <w:name w:val="ANAC - Titolo Capitolo"/>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iCs/>
      <w:sz w:val="36"/>
      <w:szCs w:val="40"/>
      <w:lang w:eastAsia="ar-SA"/>
    </w:rPr>
  </w:style>
  <w:style w:type="paragraph" w:customStyle="1" w:styleId="ANAC-Capitolo">
    <w:name w:val="ANAC - Capitolo"/>
    <w:basedOn w:val="Titolo1"/>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240" w:line="240" w:lineRule="exact"/>
      <w:ind w:left="1560" w:right="142"/>
    </w:pPr>
    <w:rPr>
      <w:rFonts w:ascii="Calibri Light" w:eastAsia="0" w:hAnsi="Calibri Light"/>
      <w:color w:val="2F5496"/>
      <w:sz w:val="32"/>
      <w:szCs w:val="32"/>
      <w:lang w:eastAsia="ar-SA"/>
    </w:rPr>
  </w:style>
  <w:style w:type="paragraph" w:customStyle="1" w:styleId="TitoloParagrafo">
    <w:name w:val="Titolo Paragrafo"/>
    <w:basedOn w:val="Titolo5"/>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after="0" w:line="240" w:lineRule="exact"/>
      <w:ind w:left="1560" w:right="142"/>
    </w:pPr>
    <w:rPr>
      <w:rFonts w:ascii="Calibri Light" w:eastAsia="0" w:hAnsi="Calibri Light"/>
      <w:color w:val="2F5496"/>
      <w:sz w:val="28"/>
      <w:lang w:eastAsia="ar-SA"/>
    </w:rPr>
  </w:style>
  <w:style w:type="paragraph" w:customStyle="1" w:styleId="TitoloCapitolo">
    <w:name w:val="Titolo Capitolo"/>
    <w:basedOn w:val="Titolo4"/>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i w:val="0"/>
      <w:sz w:val="36"/>
      <w:szCs w:val="40"/>
      <w:lang w:eastAsia="ar-SA"/>
    </w:rPr>
  </w:style>
  <w:style w:type="paragraph" w:customStyle="1" w:styleId="NumeroCapitolo">
    <w:name w:val="Numero Capitolo"/>
    <w:basedOn w:val="Titolo3"/>
    <w:qFormat/>
    <w:pPr>
      <w:keepLines/>
      <w:numPr>
        <w:ilvl w:val="0"/>
        <w:numId w:val="0"/>
      </w:num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after="0" w:line="240" w:lineRule="exact"/>
      <w:ind w:left="1560" w:right="142"/>
    </w:pPr>
    <w:rPr>
      <w:rFonts w:ascii="Gotham Light" w:eastAsia="0" w:hAnsi="Gotham Light"/>
      <w:color w:val="2770B7"/>
      <w:sz w:val="48"/>
      <w:szCs w:val="36"/>
      <w:lang w:eastAsia="ar-SA"/>
    </w:rPr>
  </w:style>
  <w:style w:type="paragraph" w:customStyle="1" w:styleId="TitoloParte">
    <w:name w:val="Titolo Parte"/>
    <w:basedOn w:val="Titolo2"/>
    <w:qFormat/>
    <w:pPr>
      <w:keepLines/>
      <w:numPr>
        <w:numId w:val="0"/>
      </w:num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after="0" w:line="240" w:lineRule="exact"/>
      <w:ind w:left="1560" w:right="142" w:hanging="357"/>
      <w:jc w:val="right"/>
    </w:pPr>
    <w:rPr>
      <w:rFonts w:ascii="Gotham Book" w:eastAsia="Times New Roman (Corpo CS)" w:hAnsi="Gotham Book"/>
      <w:color w:val="FFFFFF"/>
      <w:sz w:val="40"/>
      <w:szCs w:val="40"/>
      <w:lang w:eastAsia="ar-SA"/>
    </w:rPr>
  </w:style>
  <w:style w:type="paragraph" w:customStyle="1" w:styleId="ParteNumero">
    <w:name w:val="Parte Numero"/>
    <w:basedOn w:val="Titolo1"/>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240" w:line="240" w:lineRule="exact"/>
      <w:ind w:left="1560" w:right="142"/>
      <w:jc w:val="right"/>
    </w:pPr>
    <w:rPr>
      <w:rFonts w:ascii="Gotham Medium" w:eastAsia="Times New Roman (Corpo CS)" w:hAnsi="Gotham Medium"/>
      <w:caps/>
      <w:color w:val="FFFFFF"/>
      <w:lang w:eastAsia="ar-SA"/>
    </w:rPr>
  </w:style>
  <w:style w:type="paragraph" w:customStyle="1" w:styleId="Paragrafobase">
    <w:name w:val="[Paragrafo base]"/>
    <w:basedOn w:val="Normale"/>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line="288" w:lineRule="exact"/>
      <w:ind w:left="1560" w:right="142"/>
      <w:textAlignment w:val="center"/>
    </w:pPr>
    <w:rPr>
      <w:rFonts w:ascii="Minion Pro" w:eastAsia="Minion Pro" w:hAnsi="Minion Pro"/>
      <w:color w:val="000000"/>
      <w:lang w:eastAsia="ar-SA"/>
    </w:rPr>
  </w:style>
  <w:style w:type="paragraph" w:customStyle="1" w:styleId="Contenutocornice">
    <w:name w:val="Contenuto cornice"/>
    <w:basedOn w:val="Normale"/>
    <w:qFormat/>
  </w:style>
  <w:style w:type="paragraph" w:customStyle="1" w:styleId="Contenutotabella">
    <w:name w:val="Contenuto tabella"/>
    <w:basedOn w:val="Normale"/>
    <w:qFormat/>
    <w:pPr>
      <w:suppressLineNumbers/>
    </w:pPr>
  </w:style>
  <w:style w:type="paragraph" w:customStyle="1" w:styleId="Standard">
    <w:name w:val="Standard"/>
    <w:qFormat/>
    <w:pPr>
      <w:suppressAutoHyphens/>
      <w:spacing w:after="160" w:line="259" w:lineRule="auto"/>
      <w:textAlignment w:val="baseline"/>
    </w:pPr>
    <w:rPr>
      <w:sz w:val="24"/>
      <w:lang w:eastAsia="en-US"/>
    </w:rPr>
  </w:style>
  <w:style w:type="paragraph" w:customStyle="1" w:styleId="Testopreformattato">
    <w:name w:val="Testo preformattato"/>
    <w:basedOn w:val="Normale"/>
    <w:qFormat/>
    <w:rPr>
      <w:rFonts w:ascii="Liberation Mono" w:eastAsia="Liberation Mono" w:hAnsi="Liberation Mono" w:cs="Liberation Mono"/>
      <w:sz w:val="20"/>
      <w:szCs w:val="20"/>
    </w:rPr>
  </w:style>
  <w:style w:type="paragraph" w:customStyle="1" w:styleId="Testocitato">
    <w:name w:val="Testo citato"/>
    <w:basedOn w:val="Normale"/>
    <w:qFormat/>
    <w:pPr>
      <w:spacing w:after="283"/>
      <w:ind w:left="567" w:right="567"/>
    </w:pPr>
  </w:style>
  <w:style w:type="paragraph" w:customStyle="1" w:styleId="DefinitionTerm">
    <w:name w:val="Definition Term"/>
    <w:basedOn w:val="Normale"/>
    <w:qFormat/>
  </w:style>
  <w:style w:type="paragraph" w:customStyle="1" w:styleId="DefinitionList">
    <w:name w:val="Definition List"/>
    <w:basedOn w:val="Normale"/>
    <w:qFormat/>
    <w:pPr>
      <w:ind w:left="360"/>
    </w:pPr>
  </w:style>
  <w:style w:type="paragraph" w:customStyle="1" w:styleId="H1">
    <w:name w:val="H1"/>
    <w:basedOn w:val="Normale"/>
    <w:qFormat/>
    <w:pPr>
      <w:keepNext/>
      <w:spacing w:before="100" w:after="100"/>
      <w:outlineLvl w:val="1"/>
    </w:pPr>
    <w:rPr>
      <w:b/>
      <w:kern w:val="2"/>
      <w:sz w:val="48"/>
    </w:rPr>
  </w:style>
  <w:style w:type="paragraph" w:customStyle="1" w:styleId="H2">
    <w:name w:val="H2"/>
    <w:basedOn w:val="Normale"/>
    <w:qFormat/>
    <w:pPr>
      <w:keepNext/>
      <w:spacing w:before="100" w:after="100"/>
      <w:outlineLvl w:val="2"/>
    </w:pPr>
    <w:rPr>
      <w:b/>
      <w:sz w:val="36"/>
    </w:rPr>
  </w:style>
  <w:style w:type="paragraph" w:customStyle="1" w:styleId="H3">
    <w:name w:val="H3"/>
    <w:basedOn w:val="Normale"/>
    <w:qFormat/>
    <w:pPr>
      <w:keepNext/>
      <w:spacing w:before="100" w:after="100"/>
      <w:outlineLvl w:val="3"/>
    </w:pPr>
    <w:rPr>
      <w:b/>
      <w:sz w:val="28"/>
    </w:rPr>
  </w:style>
  <w:style w:type="paragraph" w:customStyle="1" w:styleId="H4">
    <w:name w:val="H4"/>
    <w:basedOn w:val="Normale"/>
    <w:qFormat/>
    <w:pPr>
      <w:keepNext/>
      <w:spacing w:before="100" w:after="100"/>
      <w:outlineLvl w:val="4"/>
    </w:pPr>
    <w:rPr>
      <w:b/>
    </w:rPr>
  </w:style>
  <w:style w:type="paragraph" w:customStyle="1" w:styleId="H5">
    <w:name w:val="H5"/>
    <w:basedOn w:val="Normale"/>
    <w:qFormat/>
    <w:pPr>
      <w:keepNext/>
      <w:spacing w:before="100" w:after="100"/>
      <w:outlineLvl w:val="5"/>
    </w:pPr>
    <w:rPr>
      <w:b/>
      <w:sz w:val="20"/>
    </w:rPr>
  </w:style>
  <w:style w:type="paragraph" w:customStyle="1" w:styleId="H6">
    <w:name w:val="H6"/>
    <w:basedOn w:val="Normale"/>
    <w:qFormat/>
    <w:pPr>
      <w:keepNext/>
      <w:spacing w:before="100" w:after="100"/>
      <w:outlineLvl w:val="6"/>
    </w:pPr>
    <w:rPr>
      <w:b/>
      <w:sz w:val="16"/>
    </w:rPr>
  </w:style>
  <w:style w:type="paragraph" w:customStyle="1" w:styleId="Address">
    <w:name w:val="Address"/>
    <w:basedOn w:val="Normale"/>
    <w:qFormat/>
    <w:rPr>
      <w:i/>
    </w:rPr>
  </w:style>
  <w:style w:type="paragraph" w:customStyle="1" w:styleId="Blockquote">
    <w:name w:val="Blockquote"/>
    <w:basedOn w:val="Normale"/>
    <w:qFormat/>
    <w:pPr>
      <w:spacing w:before="100" w:after="100"/>
      <w:ind w:left="360" w:right="360"/>
    </w:pPr>
  </w:style>
  <w:style w:type="paragraph" w:customStyle="1" w:styleId="Preformatted">
    <w:name w:val="Preformatted"/>
    <w:basedOn w:val="Normale"/>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z-BottomofForm">
    <w:name w:val="z-Bottom of Form"/>
    <w:qFormat/>
    <w:pPr>
      <w:pBdr>
        <w:top w:val="double" w:sz="2" w:space="0" w:color="000000"/>
      </w:pBdr>
      <w:jc w:val="center"/>
    </w:pPr>
    <w:rPr>
      <w:rFonts w:ascii="Arial" w:eastAsia="Arial" w:hAnsi="Arial" w:cs="Courier New"/>
      <w:vanish/>
      <w:sz w:val="16"/>
      <w:szCs w:val="24"/>
    </w:rPr>
  </w:style>
  <w:style w:type="paragraph" w:customStyle="1" w:styleId="z-TopofForm">
    <w:name w:val="z-Top of Form"/>
    <w:qFormat/>
    <w:pPr>
      <w:pBdr>
        <w:bottom w:val="double" w:sz="2" w:space="0" w:color="000000"/>
      </w:pBdr>
      <w:jc w:val="center"/>
    </w:pPr>
    <w:rPr>
      <w:rFonts w:ascii="Arial" w:eastAsia="Arial" w:hAnsi="Arial" w:cs="Courier New"/>
      <w:vanish/>
      <w:sz w:val="16"/>
      <w:szCs w:val="24"/>
    </w:rPr>
  </w:style>
  <w:style w:type="numbering" w:customStyle="1" w:styleId="Nessunelenco1">
    <w:name w:val="Nessun elenco1"/>
    <w:qFormat/>
  </w:style>
  <w:style w:type="numbering" w:customStyle="1" w:styleId="Stile2">
    <w:name w:val="Stile2"/>
    <w:qFormat/>
  </w:style>
  <w:style w:type="numbering" w:customStyle="1" w:styleId="WW8Num27">
    <w:name w:val="WW8Num27"/>
    <w:qFormat/>
  </w:style>
  <w:style w:type="table" w:styleId="Grigliatabella">
    <w:name w:val="Table Grid"/>
    <w:basedOn w:val="Tabellanormale"/>
    <w:rsid w:val="005115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7C2E4A"/>
    <w:rPr>
      <w:color w:val="0563C1" w:themeColor="hyperlink"/>
      <w:u w:val="single"/>
    </w:rPr>
  </w:style>
  <w:style w:type="table" w:styleId="Grigliatabellachiara">
    <w:name w:val="Grid Table Light"/>
    <w:basedOn w:val="Tabellanormale"/>
    <w:uiPriority w:val="40"/>
    <w:rsid w:val="00D80C1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imandonotaapidipagina">
    <w:name w:val="footnote reference"/>
    <w:basedOn w:val="Carpredefinitoparagrafo"/>
    <w:uiPriority w:val="99"/>
    <w:semiHidden/>
    <w:unhideWhenUsed/>
    <w:rsid w:val="009B0C28"/>
    <w:rPr>
      <w:vertAlign w:val="superscript"/>
    </w:rPr>
  </w:style>
  <w:style w:type="character" w:customStyle="1" w:styleId="Menzionenonrisolta2">
    <w:name w:val="Menzione non risolta2"/>
    <w:basedOn w:val="Carpredefinitoparagrafo"/>
    <w:uiPriority w:val="99"/>
    <w:semiHidden/>
    <w:unhideWhenUsed/>
    <w:rsid w:val="00BB4B29"/>
    <w:rPr>
      <w:color w:val="605E5C"/>
      <w:shd w:val="clear" w:color="auto" w:fill="E1DFDD"/>
    </w:rPr>
  </w:style>
  <w:style w:type="numbering" w:customStyle="1" w:styleId="WW8Num4">
    <w:name w:val="WW8Num4"/>
    <w:basedOn w:val="Nessunelenco"/>
    <w:rsid w:val="001B6DB1"/>
    <w:pPr>
      <w:numPr>
        <w:numId w:val="20"/>
      </w:numPr>
    </w:pPr>
  </w:style>
  <w:style w:type="paragraph" w:customStyle="1" w:styleId="TableParagraph">
    <w:name w:val="Table Paragraph"/>
    <w:basedOn w:val="Standard"/>
    <w:uiPriority w:val="1"/>
    <w:qFormat/>
    <w:rsid w:val="004869D5"/>
    <w:pPr>
      <w:widowControl w:val="0"/>
      <w:autoSpaceDE w:val="0"/>
      <w:autoSpaceDN w:val="0"/>
      <w:spacing w:after="0" w:line="240" w:lineRule="auto"/>
    </w:pPr>
    <w:rPr>
      <w:rFonts w:cs="Calibri"/>
      <w:kern w:val="3"/>
      <w:szCs w:val="24"/>
      <w:lang w:eastAsia="zh-CN"/>
    </w:rPr>
  </w:style>
  <w:style w:type="table" w:customStyle="1" w:styleId="Grigliatabella1">
    <w:name w:val="Griglia tabella1"/>
    <w:basedOn w:val="Tabellanormale"/>
    <w:next w:val="Grigliatabella"/>
    <w:rsid w:val="0022031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D42B8D"/>
    <w:rPr>
      <w:rFonts w:eastAsia="Times New Roman"/>
      <w:sz w:val="22"/>
      <w:szCs w:val="22"/>
    </w:rPr>
    <w:tblPr>
      <w:tblCellMar>
        <w:top w:w="0" w:type="dxa"/>
        <w:left w:w="0" w:type="dxa"/>
        <w:bottom w:w="0" w:type="dxa"/>
        <w:right w:w="0" w:type="dxa"/>
      </w:tblCellMar>
    </w:tblPr>
  </w:style>
  <w:style w:type="character" w:styleId="Menzionenonrisolta">
    <w:name w:val="Unresolved Mention"/>
    <w:basedOn w:val="Carpredefinitoparagrafo"/>
    <w:uiPriority w:val="99"/>
    <w:semiHidden/>
    <w:unhideWhenUsed/>
    <w:rsid w:val="004D2D29"/>
    <w:rPr>
      <w:color w:val="605E5C"/>
      <w:shd w:val="clear" w:color="auto" w:fill="E1DFDD"/>
    </w:rPr>
  </w:style>
  <w:style w:type="character" w:styleId="Collegamentovisitato">
    <w:name w:val="FollowedHyperlink"/>
    <w:basedOn w:val="Carpredefinitoparagrafo"/>
    <w:uiPriority w:val="99"/>
    <w:semiHidden/>
    <w:unhideWhenUsed/>
    <w:rsid w:val="00E80BA3"/>
    <w:rPr>
      <w:color w:val="954F72" w:themeColor="followedHyperlink"/>
      <w:u w:val="single"/>
    </w:rPr>
  </w:style>
  <w:style w:type="paragraph" w:customStyle="1" w:styleId="tableparagraph0">
    <w:name w:val="tableparagraph"/>
    <w:basedOn w:val="Normale"/>
    <w:qFormat/>
    <w:rsid w:val="00975FDA"/>
    <w:pPr>
      <w:spacing w:beforeAutospacing="1" w:afterAutospacing="1" w:line="240" w:lineRule="auto"/>
      <w:jc w:val="left"/>
    </w:pPr>
    <w:rPr>
      <w:rFonts w:ascii="Times New Roman" w:hAnsi="Times New Roman"/>
      <w:szCs w:val="24"/>
      <w:lang w:eastAsia="it-IT"/>
    </w:rPr>
  </w:style>
  <w:style w:type="character" w:customStyle="1" w:styleId="TestonotaapidipaginaCarattere1">
    <w:name w:val="Testo nota a piè di pagina Carattere1"/>
    <w:basedOn w:val="Carpredefinitoparagrafo"/>
    <w:link w:val="Testonotaapidipagina"/>
    <w:rsid w:val="009548F5"/>
    <w:rPr>
      <w:rFonts w:ascii="Garamond" w:eastAsia="Times New Roman" w:hAnsi="Garamond"/>
      <w:lang w:val="x-none"/>
    </w:rPr>
  </w:style>
  <w:style w:type="character" w:customStyle="1" w:styleId="TestocommentoCarattere1">
    <w:name w:val="Testo commento Carattere1"/>
    <w:basedOn w:val="Carpredefinitoparagrafo"/>
    <w:link w:val="Testocommento"/>
    <w:rsid w:val="0029379A"/>
    <w:rPr>
      <w:rFonts w:ascii="Garamond" w:eastAsia="Times New Roman" w:hAnsi="Garamond"/>
      <w:lang w:val="x-none" w:eastAsia="en-US"/>
    </w:rPr>
  </w:style>
  <w:style w:type="character" w:customStyle="1" w:styleId="CorpotestoCarattere2">
    <w:name w:val="Corpo testo Carattere2"/>
    <w:basedOn w:val="Carpredefinitoparagrafo"/>
    <w:link w:val="Corpotesto"/>
    <w:rsid w:val="00180931"/>
    <w:rPr>
      <w:rFonts w:ascii="Times New Roman" w:eastAsia="Times New Roman" w:hAnsi="Times New Roman"/>
      <w:sz w:val="26"/>
      <w:lang w:val="x-none" w:eastAsia="x-none"/>
    </w:rPr>
  </w:style>
  <w:style w:type="table" w:customStyle="1" w:styleId="TableNormal">
    <w:name w:val="Table Normal"/>
    <w:uiPriority w:val="2"/>
    <w:semiHidden/>
    <w:unhideWhenUsed/>
    <w:qFormat/>
    <w:rsid w:val="007624D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Grigliatabella2">
    <w:name w:val="Griglia tabella2"/>
    <w:basedOn w:val="Tabellanormale"/>
    <w:next w:val="Grigliatabella"/>
    <w:uiPriority w:val="39"/>
    <w:rsid w:val="007624DC"/>
    <w:pPr>
      <w:widowControl w:val="0"/>
      <w:autoSpaceDE w:val="0"/>
      <w:autoSpaceDN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9202F8"/>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0446">
      <w:bodyDiv w:val="1"/>
      <w:marLeft w:val="0"/>
      <w:marRight w:val="0"/>
      <w:marTop w:val="0"/>
      <w:marBottom w:val="0"/>
      <w:divBdr>
        <w:top w:val="none" w:sz="0" w:space="0" w:color="auto"/>
        <w:left w:val="none" w:sz="0" w:space="0" w:color="auto"/>
        <w:bottom w:val="none" w:sz="0" w:space="0" w:color="auto"/>
        <w:right w:val="none" w:sz="0" w:space="0" w:color="auto"/>
      </w:divBdr>
    </w:div>
    <w:div w:id="100496119">
      <w:bodyDiv w:val="1"/>
      <w:marLeft w:val="0"/>
      <w:marRight w:val="0"/>
      <w:marTop w:val="0"/>
      <w:marBottom w:val="0"/>
      <w:divBdr>
        <w:top w:val="none" w:sz="0" w:space="0" w:color="auto"/>
        <w:left w:val="none" w:sz="0" w:space="0" w:color="auto"/>
        <w:bottom w:val="none" w:sz="0" w:space="0" w:color="auto"/>
        <w:right w:val="none" w:sz="0" w:space="0" w:color="auto"/>
      </w:divBdr>
    </w:div>
    <w:div w:id="223683947">
      <w:bodyDiv w:val="1"/>
      <w:marLeft w:val="0"/>
      <w:marRight w:val="0"/>
      <w:marTop w:val="0"/>
      <w:marBottom w:val="0"/>
      <w:divBdr>
        <w:top w:val="none" w:sz="0" w:space="0" w:color="auto"/>
        <w:left w:val="none" w:sz="0" w:space="0" w:color="auto"/>
        <w:bottom w:val="none" w:sz="0" w:space="0" w:color="auto"/>
        <w:right w:val="none" w:sz="0" w:space="0" w:color="auto"/>
      </w:divBdr>
    </w:div>
    <w:div w:id="373119581">
      <w:bodyDiv w:val="1"/>
      <w:marLeft w:val="0"/>
      <w:marRight w:val="0"/>
      <w:marTop w:val="0"/>
      <w:marBottom w:val="0"/>
      <w:divBdr>
        <w:top w:val="none" w:sz="0" w:space="0" w:color="auto"/>
        <w:left w:val="none" w:sz="0" w:space="0" w:color="auto"/>
        <w:bottom w:val="none" w:sz="0" w:space="0" w:color="auto"/>
        <w:right w:val="none" w:sz="0" w:space="0" w:color="auto"/>
      </w:divBdr>
    </w:div>
    <w:div w:id="511645752">
      <w:bodyDiv w:val="1"/>
      <w:marLeft w:val="0"/>
      <w:marRight w:val="0"/>
      <w:marTop w:val="0"/>
      <w:marBottom w:val="0"/>
      <w:divBdr>
        <w:top w:val="none" w:sz="0" w:space="0" w:color="auto"/>
        <w:left w:val="none" w:sz="0" w:space="0" w:color="auto"/>
        <w:bottom w:val="none" w:sz="0" w:space="0" w:color="auto"/>
        <w:right w:val="none" w:sz="0" w:space="0" w:color="auto"/>
      </w:divBdr>
    </w:div>
    <w:div w:id="531958854">
      <w:bodyDiv w:val="1"/>
      <w:marLeft w:val="0"/>
      <w:marRight w:val="0"/>
      <w:marTop w:val="0"/>
      <w:marBottom w:val="0"/>
      <w:divBdr>
        <w:top w:val="none" w:sz="0" w:space="0" w:color="auto"/>
        <w:left w:val="none" w:sz="0" w:space="0" w:color="auto"/>
        <w:bottom w:val="none" w:sz="0" w:space="0" w:color="auto"/>
        <w:right w:val="none" w:sz="0" w:space="0" w:color="auto"/>
      </w:divBdr>
    </w:div>
    <w:div w:id="570962877">
      <w:bodyDiv w:val="1"/>
      <w:marLeft w:val="0"/>
      <w:marRight w:val="0"/>
      <w:marTop w:val="0"/>
      <w:marBottom w:val="0"/>
      <w:divBdr>
        <w:top w:val="none" w:sz="0" w:space="0" w:color="auto"/>
        <w:left w:val="none" w:sz="0" w:space="0" w:color="auto"/>
        <w:bottom w:val="none" w:sz="0" w:space="0" w:color="auto"/>
        <w:right w:val="none" w:sz="0" w:space="0" w:color="auto"/>
      </w:divBdr>
    </w:div>
    <w:div w:id="614139829">
      <w:bodyDiv w:val="1"/>
      <w:marLeft w:val="0"/>
      <w:marRight w:val="0"/>
      <w:marTop w:val="0"/>
      <w:marBottom w:val="0"/>
      <w:divBdr>
        <w:top w:val="none" w:sz="0" w:space="0" w:color="auto"/>
        <w:left w:val="none" w:sz="0" w:space="0" w:color="auto"/>
        <w:bottom w:val="none" w:sz="0" w:space="0" w:color="auto"/>
        <w:right w:val="none" w:sz="0" w:space="0" w:color="auto"/>
      </w:divBdr>
    </w:div>
    <w:div w:id="622732181">
      <w:bodyDiv w:val="1"/>
      <w:marLeft w:val="0"/>
      <w:marRight w:val="0"/>
      <w:marTop w:val="0"/>
      <w:marBottom w:val="0"/>
      <w:divBdr>
        <w:top w:val="none" w:sz="0" w:space="0" w:color="auto"/>
        <w:left w:val="none" w:sz="0" w:space="0" w:color="auto"/>
        <w:bottom w:val="none" w:sz="0" w:space="0" w:color="auto"/>
        <w:right w:val="none" w:sz="0" w:space="0" w:color="auto"/>
      </w:divBdr>
    </w:div>
    <w:div w:id="645470520">
      <w:bodyDiv w:val="1"/>
      <w:marLeft w:val="0"/>
      <w:marRight w:val="0"/>
      <w:marTop w:val="0"/>
      <w:marBottom w:val="0"/>
      <w:divBdr>
        <w:top w:val="none" w:sz="0" w:space="0" w:color="auto"/>
        <w:left w:val="none" w:sz="0" w:space="0" w:color="auto"/>
        <w:bottom w:val="none" w:sz="0" w:space="0" w:color="auto"/>
        <w:right w:val="none" w:sz="0" w:space="0" w:color="auto"/>
      </w:divBdr>
    </w:div>
    <w:div w:id="879321098">
      <w:bodyDiv w:val="1"/>
      <w:marLeft w:val="0"/>
      <w:marRight w:val="0"/>
      <w:marTop w:val="0"/>
      <w:marBottom w:val="0"/>
      <w:divBdr>
        <w:top w:val="none" w:sz="0" w:space="0" w:color="auto"/>
        <w:left w:val="none" w:sz="0" w:space="0" w:color="auto"/>
        <w:bottom w:val="none" w:sz="0" w:space="0" w:color="auto"/>
        <w:right w:val="none" w:sz="0" w:space="0" w:color="auto"/>
      </w:divBdr>
    </w:div>
    <w:div w:id="1339501083">
      <w:bodyDiv w:val="1"/>
      <w:marLeft w:val="0"/>
      <w:marRight w:val="0"/>
      <w:marTop w:val="0"/>
      <w:marBottom w:val="0"/>
      <w:divBdr>
        <w:top w:val="none" w:sz="0" w:space="0" w:color="auto"/>
        <w:left w:val="none" w:sz="0" w:space="0" w:color="auto"/>
        <w:bottom w:val="none" w:sz="0" w:space="0" w:color="auto"/>
        <w:right w:val="none" w:sz="0" w:space="0" w:color="auto"/>
      </w:divBdr>
    </w:div>
    <w:div w:id="1795250929">
      <w:bodyDiv w:val="1"/>
      <w:marLeft w:val="0"/>
      <w:marRight w:val="0"/>
      <w:marTop w:val="0"/>
      <w:marBottom w:val="0"/>
      <w:divBdr>
        <w:top w:val="none" w:sz="0" w:space="0" w:color="auto"/>
        <w:left w:val="none" w:sz="0" w:space="0" w:color="auto"/>
        <w:bottom w:val="none" w:sz="0" w:space="0" w:color="auto"/>
        <w:right w:val="none" w:sz="0" w:space="0" w:color="auto"/>
      </w:divBdr>
    </w:div>
    <w:div w:id="1869444133">
      <w:bodyDiv w:val="1"/>
      <w:marLeft w:val="0"/>
      <w:marRight w:val="0"/>
      <w:marTop w:val="0"/>
      <w:marBottom w:val="0"/>
      <w:divBdr>
        <w:top w:val="none" w:sz="0" w:space="0" w:color="auto"/>
        <w:left w:val="none" w:sz="0" w:space="0" w:color="auto"/>
        <w:bottom w:val="none" w:sz="0" w:space="0" w:color="auto"/>
        <w:right w:val="none" w:sz="0" w:space="0" w:color="auto"/>
      </w:divBdr>
    </w:div>
    <w:div w:id="2072540280">
      <w:bodyDiv w:val="1"/>
      <w:marLeft w:val="0"/>
      <w:marRight w:val="0"/>
      <w:marTop w:val="0"/>
      <w:marBottom w:val="0"/>
      <w:divBdr>
        <w:top w:val="none" w:sz="0" w:space="0" w:color="auto"/>
        <w:left w:val="none" w:sz="0" w:space="0" w:color="auto"/>
        <w:bottom w:val="none" w:sz="0" w:space="0" w:color="auto"/>
        <w:right w:val="none" w:sz="0" w:space="0" w:color="auto"/>
      </w:divBdr>
    </w:div>
    <w:div w:id="21433763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center.regione.emilia-" TargetMode="External"/><Relationship Id="rId18" Type="http://schemas.openxmlformats.org/officeDocument/2006/relationships/hyperlink" Target="https://www.anticorruzione.it/en/-/comunicato-del-presidente-del-16-aprile-2025-fvoe" TargetMode="External"/><Relationship Id="rId26" Type="http://schemas.openxmlformats.org/officeDocument/2006/relationships/hyperlink" Target="https://intercenter.regione.emilia-romagna.it/help/guide/manuali-oe/guide/" TargetMode="External"/><Relationship Id="rId3" Type="http://schemas.openxmlformats.org/officeDocument/2006/relationships/customXml" Target="../customXml/item3.xml"/><Relationship Id="rId21" Type="http://schemas.openxmlformats.org/officeDocument/2006/relationships/hyperlink" Target="http://intercenter.regione.emilia-romagna.it/agenzia/utilizzo-del-sistema/guide/"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gpp.mase.gov.it/CAM-vigenti" TargetMode="External"/><Relationship Id="rId17" Type="http://schemas.openxmlformats.org/officeDocument/2006/relationships/hyperlink" Target="http://intercenter.regione.emilia-romagna.it" TargetMode="External"/><Relationship Id="rId25" Type="http://schemas.openxmlformats.org/officeDocument/2006/relationships/hyperlink" Target="http://intercenter.regione.emilia-romagna.it/agenzia/utilizzo-del-%20sistema/guide/"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intercenter.regione.emilia-romagna.it/agenzia/utilizzo-del-sistema/guide" TargetMode="External"/><Relationship Id="rId20" Type="http://schemas.openxmlformats.org/officeDocument/2006/relationships/hyperlink" Target="https://servizi.anticorruzione.it/hub-gcg/" TargetMode="External"/><Relationship Id="rId29" Type="http://schemas.openxmlformats.org/officeDocument/2006/relationships/hyperlink" Target="mailto:info@pec.sistemasusio.i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indicenormativa.it/norma/urn:nir:presidente.repubblica:decreto:1972-10-26;642"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intercenter.regione.emiliaromagna.it/" TargetMode="External"/><Relationship Id="rId23" Type="http://schemas.openxmlformats.org/officeDocument/2006/relationships/hyperlink" Target="https://www.agenziaentrate.gov.it/portale/documents/20143/251856/Modello+F24+identificativi+nuovo_Modello+F24+elementi+identif.pdf/0f618835-9fe0-7c8e-47a3-3bec74b8571d" TargetMode="External"/><Relationship Id="rId28" Type="http://schemas.openxmlformats.org/officeDocument/2006/relationships/hyperlink" Target="mailto:provpc@cert.provincia.pc.it" TargetMode="External"/><Relationship Id="rId10" Type="http://schemas.openxmlformats.org/officeDocument/2006/relationships/endnotes" Target="endnotes.xml"/><Relationship Id="rId19" Type="http://schemas.openxmlformats.org/officeDocument/2006/relationships/hyperlink" Target="https://www.anticorruzione.it/-/portale-dei-pagamenti-di-anac" TargetMode="External"/><Relationship Id="rId31" Type="http://schemas.openxmlformats.org/officeDocument/2006/relationships/hyperlink" Target="mailto:dpo@comune.castelsangiovanni.pc.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intercenter.regione.emilia-romagna.it/" TargetMode="External"/><Relationship Id="rId22" Type="http://schemas.openxmlformats.org/officeDocument/2006/relationships/hyperlink" Target="http://intercenter.regione.emilia-romagna.it/agenzia/utilizzo-del-sistema/guide/" TargetMode="External"/><Relationship Id="rId27" Type="http://schemas.openxmlformats.org/officeDocument/2006/relationships/hyperlink" Target="mailto:provpc@provincia.pc.it" TargetMode="External"/><Relationship Id="rId30" Type="http://schemas.openxmlformats.org/officeDocument/2006/relationships/hyperlink" Target="mailto:info@sistemasusio.it"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52895ed-16c9-4d8b-8f3b-b14d8d074339">
      <Terms xmlns="http://schemas.microsoft.com/office/infopath/2007/PartnerControls"/>
    </lcf76f155ced4ddcb4097134ff3c332f>
    <TaxCatchAll xmlns="1ae0c515-bb02-4ff3-8ea4-e8762fa68d8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1D8A8440AC2E24BAE8CDDCCBE6095BC" ma:contentTypeVersion="11" ma:contentTypeDescription="Creare un nuovo documento." ma:contentTypeScope="" ma:versionID="a0e881d017e7520673fdba76582c3b32">
  <xsd:schema xmlns:xsd="http://www.w3.org/2001/XMLSchema" xmlns:xs="http://www.w3.org/2001/XMLSchema" xmlns:p="http://schemas.microsoft.com/office/2006/metadata/properties" xmlns:ns2="852895ed-16c9-4d8b-8f3b-b14d8d074339" xmlns:ns3="1ae0c515-bb02-4ff3-8ea4-e8762fa68d80" targetNamespace="http://schemas.microsoft.com/office/2006/metadata/properties" ma:root="true" ma:fieldsID="508a817c8dcb1e949facd88ffceb6e60" ns2:_="" ns3:_="">
    <xsd:import namespace="852895ed-16c9-4d8b-8f3b-b14d8d074339"/>
    <xsd:import namespace="1ae0c515-bb02-4ff3-8ea4-e8762fa68d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895ed-16c9-4d8b-8f3b-b14d8d0743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Tag immagine" ma:readOnly="false" ma:fieldId="{5cf76f15-5ced-4ddc-b409-7134ff3c332f}" ma:taxonomyMulti="true" ma:sspId="6843c190-1580-45d0-924f-00d67156161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e0c515-bb02-4ff3-8ea4-e8762fa68d8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cc76b20-0452-4256-8c78-fa1ddf61cb99}" ma:internalName="TaxCatchAll" ma:showField="CatchAllData" ma:web="1ae0c515-bb02-4ff3-8ea4-e8762fa68d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54265-D4F0-4F22-ADB8-188783C6CD75}">
  <ds:schemaRefs>
    <ds:schemaRef ds:uri="http://schemas.microsoft.com/office/2006/metadata/properties"/>
    <ds:schemaRef ds:uri="http://schemas.microsoft.com/office/infopath/2007/PartnerControls"/>
    <ds:schemaRef ds:uri="852895ed-16c9-4d8b-8f3b-b14d8d074339"/>
    <ds:schemaRef ds:uri="1ae0c515-bb02-4ff3-8ea4-e8762fa68d80"/>
  </ds:schemaRefs>
</ds:datastoreItem>
</file>

<file path=customXml/itemProps2.xml><?xml version="1.0" encoding="utf-8"?>
<ds:datastoreItem xmlns:ds="http://schemas.openxmlformats.org/officeDocument/2006/customXml" ds:itemID="{27B377D6-C5DA-4268-AEDA-3DE8BB554856}">
  <ds:schemaRefs>
    <ds:schemaRef ds:uri="http://schemas.microsoft.com/sharepoint/v3/contenttype/forms"/>
  </ds:schemaRefs>
</ds:datastoreItem>
</file>

<file path=customXml/itemProps3.xml><?xml version="1.0" encoding="utf-8"?>
<ds:datastoreItem xmlns:ds="http://schemas.openxmlformats.org/officeDocument/2006/customXml" ds:itemID="{5ACEF71F-653A-4E3A-BE33-18195B6F2F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895ed-16c9-4d8b-8f3b-b14d8d074339"/>
    <ds:schemaRef ds:uri="1ae0c515-bb02-4ff3-8ea4-e8762fa68d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C8A6E1-24E4-4143-B02E-7C06E3026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547</TotalTime>
  <Pages>33</Pages>
  <Words>19048</Words>
  <Characters>108576</Characters>
  <Application>Microsoft Office Word</Application>
  <DocSecurity>0</DocSecurity>
  <Lines>904</Lines>
  <Paragraphs>254</Paragraphs>
  <ScaleCrop>false</ScaleCrop>
  <Company>AVCP</Company>
  <LinksUpToDate>false</LinksUpToDate>
  <CharactersWithSpaces>127370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Codice dei contratti pubblici                                    D.lgs. 18 aprile 2016, n. 50, modificato dal d.lgs. 19 aprile 2017, n. 56</dc:title>
  <dc:subject>---</dc:subject>
  <dc:creator>Laura Savelli</dc:creator>
  <cp:keywords/>
  <dc:description/>
  <cp:lastModifiedBy>Magnaschi, Paola</cp:lastModifiedBy>
  <cp:revision>355</cp:revision>
  <cp:lastPrinted>2026-04-14T11:21:00Z</cp:lastPrinted>
  <dcterms:created xsi:type="dcterms:W3CDTF">2026-04-30T04:25:00Z</dcterms:created>
  <dcterms:modified xsi:type="dcterms:W3CDTF">2026-10-01T12:03:00Z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AVCP</vt:lpwstr>
  </property>
  <property fmtid="{D5CDD505-2E9C-101B-9397-08002B2CF9AE}" pid="4" name="DocSecurity">
    <vt:i4>0</vt:i4>
  </property>
  <property fmtid="{D5CDD505-2E9C-101B-9397-08002B2CF9AE}" pid="5" name="DocumentEncoding">
    <vt:lpwstr>utf-8</vt:lpwstr>
  </property>
  <property fmtid="{D5CDD505-2E9C-101B-9397-08002B2CF9AE}" pid="6" name="HTML">
    <vt:bool>true</vt:bool>
  </property>
  <property fmtid="{D5CDD505-2E9C-101B-9397-08002B2CF9AE}" pid="7" name="HyperlinksChanged">
    <vt:bool>false</vt:bool>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y fmtid="{D5CDD505-2E9C-101B-9397-08002B2CF9AE}" pid="11" name="ContentTypeId">
    <vt:lpwstr>0x010100C1D8A8440AC2E24BAE8CDDCCBE6095BC</vt:lpwstr>
  </property>
  <property fmtid="{D5CDD505-2E9C-101B-9397-08002B2CF9AE}" pid="12" name="MediaServiceImageTags">
    <vt:lpwstr/>
  </property>
</Properties>
</file>